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AB1C9" w14:textId="30A832F3" w:rsidR="00520F3C" w:rsidRPr="00086193" w:rsidRDefault="00F22A4E">
      <w:pPr>
        <w:tabs>
          <w:tab w:val="left" w:pos="5954"/>
        </w:tabs>
        <w:spacing w:line="360" w:lineRule="auto"/>
        <w:ind w:left="0" w:hanging="2"/>
        <w:jc w:val="center"/>
        <w:rPr>
          <w:rFonts w:asciiTheme="majorHAnsi" w:hAnsiTheme="majorHAnsi" w:cstheme="majorHAnsi"/>
          <w:sz w:val="24"/>
          <w:szCs w:val="24"/>
        </w:rPr>
      </w:pPr>
      <w:r>
        <w:rPr>
          <w:rFonts w:asciiTheme="majorHAnsi" w:eastAsia="Calibri" w:hAnsiTheme="majorHAnsi" w:cstheme="majorHAnsi"/>
          <w:b/>
          <w:sz w:val="24"/>
          <w:szCs w:val="24"/>
        </w:rPr>
        <w:t xml:space="preserve"> </w:t>
      </w:r>
      <w:r w:rsidR="00D25F00" w:rsidRPr="00086193">
        <w:rPr>
          <w:rFonts w:asciiTheme="majorHAnsi" w:eastAsia="Calibri" w:hAnsiTheme="majorHAnsi" w:cstheme="majorHAnsi"/>
          <w:b/>
          <w:sz w:val="24"/>
          <w:szCs w:val="24"/>
        </w:rPr>
        <w:t>ANEXO II</w:t>
      </w:r>
    </w:p>
    <w:p w14:paraId="73436613" w14:textId="77777777" w:rsidR="00520F3C" w:rsidRDefault="00D25F00">
      <w:pPr>
        <w:spacing w:line="360" w:lineRule="auto"/>
        <w:ind w:left="0" w:hanging="2"/>
        <w:jc w:val="center"/>
        <w:rPr>
          <w:rFonts w:asciiTheme="majorHAnsi" w:eastAsia="Calibri" w:hAnsiTheme="majorHAnsi" w:cstheme="majorHAnsi"/>
          <w:b/>
          <w:sz w:val="24"/>
          <w:szCs w:val="24"/>
        </w:rPr>
      </w:pPr>
      <w:r w:rsidRPr="00086193">
        <w:rPr>
          <w:rFonts w:asciiTheme="majorHAnsi" w:eastAsia="Calibri" w:hAnsiTheme="majorHAnsi" w:cstheme="majorHAnsi"/>
          <w:b/>
          <w:sz w:val="24"/>
          <w:szCs w:val="24"/>
        </w:rPr>
        <w:t>MODELO DE PROPOSTA COMERCIAL</w:t>
      </w:r>
    </w:p>
    <w:p w14:paraId="493C65B6" w14:textId="77777777" w:rsidR="005158D6" w:rsidRPr="00086193" w:rsidRDefault="005158D6">
      <w:pPr>
        <w:spacing w:line="360" w:lineRule="auto"/>
        <w:ind w:left="0" w:hanging="2"/>
        <w:jc w:val="center"/>
        <w:rPr>
          <w:rFonts w:asciiTheme="majorHAnsi" w:hAnsiTheme="majorHAnsi" w:cstheme="majorHAnsi"/>
          <w:sz w:val="24"/>
          <w:szCs w:val="24"/>
        </w:rPr>
      </w:pPr>
    </w:p>
    <w:p w14:paraId="1B7F2C5D" w14:textId="77777777" w:rsidR="006828CF" w:rsidRDefault="009660A1" w:rsidP="00184FFB">
      <w:pPr>
        <w:spacing w:line="360" w:lineRule="auto"/>
        <w:ind w:left="0" w:hanging="2"/>
        <w:rPr>
          <w:rFonts w:asciiTheme="majorHAnsi" w:eastAsia="Calibri" w:hAnsiTheme="majorHAnsi" w:cstheme="majorHAnsi"/>
          <w:b/>
          <w:color w:val="FF0000"/>
          <w:sz w:val="24"/>
          <w:szCs w:val="24"/>
        </w:rPr>
      </w:pPr>
      <w:r w:rsidRPr="00086193">
        <w:rPr>
          <w:rFonts w:asciiTheme="majorHAnsi" w:eastAsia="Calibri" w:hAnsiTheme="majorHAnsi" w:cstheme="majorHAnsi"/>
          <w:b/>
          <w:sz w:val="24"/>
          <w:szCs w:val="24"/>
        </w:rPr>
        <w:t xml:space="preserve">Processo SEI </w:t>
      </w:r>
      <w:r w:rsidR="00086193" w:rsidRPr="00086193">
        <w:rPr>
          <w:rFonts w:asciiTheme="majorHAnsi" w:eastAsia="Calibri" w:hAnsiTheme="majorHAnsi" w:cstheme="majorHAnsi"/>
          <w:b/>
          <w:sz w:val="24"/>
          <w:szCs w:val="24"/>
        </w:rPr>
        <w:t xml:space="preserve">nº </w:t>
      </w:r>
      <w:hyperlink r:id="rId9" w:tgtFrame="ifrVisualizacao" w:tooltip="Processo Administrativo" w:history="1">
        <w:r w:rsidR="006828CF" w:rsidRPr="006828CF">
          <w:rPr>
            <w:rStyle w:val="Hyperlink"/>
            <w:rFonts w:asciiTheme="majorHAnsi" w:eastAsia="Calibri" w:hAnsiTheme="majorHAnsi" w:cstheme="majorHAnsi"/>
            <w:bCs/>
            <w:color w:val="auto"/>
            <w:sz w:val="24"/>
            <w:szCs w:val="24"/>
            <w:u w:val="none"/>
          </w:rPr>
          <w:t>0089.0.000002660/2026-6</w:t>
        </w:r>
      </w:hyperlink>
    </w:p>
    <w:p w14:paraId="7BAFE30E" w14:textId="291A926A" w:rsidR="00520F3C" w:rsidRPr="00B825C0" w:rsidRDefault="00770CE1" w:rsidP="00184FFB">
      <w:pPr>
        <w:spacing w:line="360" w:lineRule="auto"/>
        <w:ind w:left="0" w:hanging="2"/>
        <w:rPr>
          <w:rFonts w:asciiTheme="majorHAnsi" w:eastAsia="Calibri" w:hAnsiTheme="majorHAnsi" w:cstheme="majorHAnsi"/>
          <w:b/>
          <w:sz w:val="24"/>
          <w:szCs w:val="24"/>
        </w:rPr>
      </w:pPr>
      <w:r w:rsidRPr="00086193">
        <w:rPr>
          <w:rFonts w:asciiTheme="majorHAnsi" w:eastAsia="Calibri" w:hAnsiTheme="majorHAnsi" w:cstheme="majorHAnsi"/>
          <w:b/>
          <w:sz w:val="24"/>
          <w:szCs w:val="24"/>
        </w:rPr>
        <w:t>Processo administrativo Nº</w:t>
      </w:r>
      <w:r w:rsidR="00B35724" w:rsidRPr="00086193">
        <w:rPr>
          <w:rFonts w:asciiTheme="majorHAnsi" w:eastAsia="Calibri" w:hAnsiTheme="majorHAnsi" w:cstheme="majorHAnsi"/>
          <w:b/>
          <w:sz w:val="24"/>
          <w:szCs w:val="24"/>
        </w:rPr>
        <w:t xml:space="preserve"> </w:t>
      </w:r>
      <w:r w:rsidR="00BD7355">
        <w:rPr>
          <w:rFonts w:asciiTheme="majorHAnsi" w:eastAsia="Calibri" w:hAnsiTheme="majorHAnsi" w:cstheme="majorHAnsi"/>
          <w:b/>
          <w:sz w:val="24"/>
          <w:szCs w:val="24"/>
        </w:rPr>
        <w:t>64</w:t>
      </w:r>
      <w:r w:rsidR="006828CF">
        <w:rPr>
          <w:rFonts w:asciiTheme="majorHAnsi" w:eastAsia="Calibri" w:hAnsiTheme="majorHAnsi" w:cstheme="majorHAnsi"/>
          <w:b/>
          <w:sz w:val="24"/>
          <w:szCs w:val="24"/>
        </w:rPr>
        <w:t>/2026</w:t>
      </w:r>
    </w:p>
    <w:p w14:paraId="25A68F8A" w14:textId="2A9590FD" w:rsidR="00520F3C" w:rsidRPr="00086193" w:rsidRDefault="00D25F00">
      <w:pPr>
        <w:spacing w:line="360" w:lineRule="auto"/>
        <w:ind w:left="0" w:hanging="2"/>
        <w:rPr>
          <w:rFonts w:asciiTheme="majorHAnsi" w:eastAsia="Calibri" w:hAnsiTheme="majorHAnsi" w:cstheme="majorHAnsi"/>
          <w:b/>
          <w:sz w:val="24"/>
          <w:szCs w:val="24"/>
        </w:rPr>
      </w:pPr>
      <w:r w:rsidRPr="00B825C0">
        <w:rPr>
          <w:rFonts w:asciiTheme="majorHAnsi" w:eastAsia="Calibri" w:hAnsiTheme="majorHAnsi" w:cstheme="majorHAnsi"/>
          <w:b/>
          <w:sz w:val="24"/>
          <w:szCs w:val="24"/>
        </w:rPr>
        <w:t>Pregão eletrônico Nº.</w:t>
      </w:r>
      <w:r w:rsidR="004B5CCE">
        <w:rPr>
          <w:rFonts w:asciiTheme="majorHAnsi" w:eastAsia="Calibri" w:hAnsiTheme="majorHAnsi" w:cstheme="majorHAnsi"/>
          <w:b/>
          <w:sz w:val="24"/>
          <w:szCs w:val="24"/>
        </w:rPr>
        <w:t xml:space="preserve"> </w:t>
      </w:r>
      <w:r w:rsidR="00BD7355">
        <w:rPr>
          <w:rFonts w:asciiTheme="majorHAnsi" w:eastAsia="Calibri" w:hAnsiTheme="majorHAnsi" w:cstheme="majorHAnsi"/>
          <w:b/>
          <w:sz w:val="24"/>
          <w:szCs w:val="24"/>
        </w:rPr>
        <w:t>90034</w:t>
      </w:r>
      <w:r w:rsidR="006828CF">
        <w:rPr>
          <w:rFonts w:asciiTheme="majorHAnsi" w:eastAsia="Calibri" w:hAnsiTheme="majorHAnsi" w:cstheme="majorHAnsi"/>
          <w:b/>
          <w:sz w:val="24"/>
          <w:szCs w:val="24"/>
        </w:rPr>
        <w:t>/2026</w:t>
      </w:r>
    </w:p>
    <w:p w14:paraId="289B35F1" w14:textId="0EDDFF5D" w:rsidR="00520F3C" w:rsidRPr="00086193" w:rsidRDefault="00D25F00">
      <w:pPr>
        <w:spacing w:line="360"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Tipo de Licitação: MENOR PREÇO POR ITEM</w:t>
      </w:r>
      <w:r w:rsidR="001D5C5B">
        <w:rPr>
          <w:rFonts w:asciiTheme="majorHAnsi" w:eastAsia="Calibri" w:hAnsiTheme="majorHAnsi" w:cstheme="majorHAnsi"/>
          <w:b/>
          <w:sz w:val="24"/>
          <w:szCs w:val="24"/>
        </w:rPr>
        <w:t xml:space="preserve"> </w:t>
      </w:r>
    </w:p>
    <w:p w14:paraId="657124E9" w14:textId="5E1C42B1" w:rsidR="00520F3C" w:rsidRPr="00BD7355"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color w:val="000000"/>
          <w:sz w:val="24"/>
          <w:szCs w:val="24"/>
        </w:rPr>
        <w:t>Data:</w:t>
      </w:r>
      <w:r w:rsidR="00854472">
        <w:rPr>
          <w:rFonts w:asciiTheme="majorHAnsi" w:eastAsia="Calibri" w:hAnsiTheme="majorHAnsi" w:cstheme="majorHAnsi"/>
          <w:b/>
          <w:color w:val="000000"/>
          <w:sz w:val="24"/>
          <w:szCs w:val="24"/>
        </w:rPr>
        <w:t xml:space="preserve"> </w:t>
      </w:r>
      <w:r w:rsidR="008D342D">
        <w:rPr>
          <w:rFonts w:asciiTheme="majorHAnsi" w:eastAsia="Calibri" w:hAnsiTheme="majorHAnsi" w:cstheme="majorHAnsi"/>
          <w:b/>
          <w:color w:val="000000"/>
          <w:sz w:val="24"/>
          <w:szCs w:val="24"/>
        </w:rPr>
        <w:t>25/06</w:t>
      </w:r>
      <w:r w:rsidR="00BD7355">
        <w:rPr>
          <w:rFonts w:asciiTheme="majorHAnsi" w:eastAsia="Calibri" w:hAnsiTheme="majorHAnsi" w:cstheme="majorHAnsi"/>
          <w:b/>
          <w:sz w:val="24"/>
          <w:szCs w:val="24"/>
        </w:rPr>
        <w:t>/2026</w:t>
      </w:r>
    </w:p>
    <w:p w14:paraId="40A1DEA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 xml:space="preserve">Horário: </w:t>
      </w:r>
      <w:r w:rsidR="009B0153" w:rsidRPr="00086193">
        <w:rPr>
          <w:rFonts w:asciiTheme="majorHAnsi" w:eastAsia="Calibri" w:hAnsiTheme="majorHAnsi" w:cstheme="majorHAnsi"/>
          <w:b/>
          <w:sz w:val="24"/>
          <w:szCs w:val="24"/>
        </w:rPr>
        <w:t>09</w:t>
      </w:r>
      <w:r w:rsidR="00D3169F" w:rsidRPr="00086193">
        <w:rPr>
          <w:rFonts w:asciiTheme="majorHAnsi" w:hAnsiTheme="majorHAnsi" w:cstheme="majorHAnsi"/>
          <w:b/>
          <w:bCs/>
          <w:sz w:val="24"/>
          <w:szCs w:val="24"/>
          <w:lang w:val="pt-PT"/>
        </w:rPr>
        <w:t>:</w:t>
      </w:r>
      <w:r w:rsidR="009B0153" w:rsidRPr="00086193">
        <w:rPr>
          <w:rFonts w:asciiTheme="majorHAnsi" w:hAnsiTheme="majorHAnsi" w:cstheme="majorHAnsi"/>
          <w:b/>
          <w:bCs/>
          <w:sz w:val="24"/>
          <w:szCs w:val="24"/>
          <w:lang w:val="pt-PT"/>
        </w:rPr>
        <w:t>00</w:t>
      </w:r>
      <w:r w:rsidR="00D3169F" w:rsidRPr="00086193">
        <w:rPr>
          <w:rFonts w:asciiTheme="majorHAnsi" w:hAnsiTheme="majorHAnsi" w:cstheme="majorHAnsi"/>
          <w:b/>
          <w:bCs/>
          <w:sz w:val="24"/>
          <w:szCs w:val="24"/>
          <w:lang w:val="pt-PT"/>
        </w:rPr>
        <w:t xml:space="preserve"> </w:t>
      </w:r>
      <w:r w:rsidR="00A91623" w:rsidRPr="00086193">
        <w:rPr>
          <w:rFonts w:asciiTheme="majorHAnsi" w:hAnsiTheme="majorHAnsi" w:cstheme="majorHAnsi"/>
          <w:b/>
          <w:bCs/>
          <w:sz w:val="24"/>
          <w:szCs w:val="24"/>
          <w:lang w:val="pt-PT"/>
        </w:rPr>
        <w:t>(</w:t>
      </w:r>
      <w:r w:rsidR="009B0153" w:rsidRPr="00086193">
        <w:rPr>
          <w:rFonts w:asciiTheme="majorHAnsi" w:hAnsiTheme="majorHAnsi" w:cstheme="majorHAnsi"/>
          <w:b/>
          <w:bCs/>
          <w:sz w:val="24"/>
          <w:szCs w:val="24"/>
          <w:lang w:val="pt-PT"/>
        </w:rPr>
        <w:t>nove</w:t>
      </w:r>
      <w:r w:rsidR="00A91623" w:rsidRPr="00086193">
        <w:rPr>
          <w:rFonts w:asciiTheme="majorHAnsi" w:hAnsiTheme="majorHAnsi" w:cstheme="majorHAnsi"/>
          <w:b/>
          <w:bCs/>
          <w:sz w:val="24"/>
          <w:szCs w:val="24"/>
          <w:lang w:val="pt-PT"/>
        </w:rPr>
        <w:t>)</w:t>
      </w:r>
      <w:r w:rsidR="0068289E" w:rsidRPr="00086193">
        <w:rPr>
          <w:rFonts w:asciiTheme="majorHAnsi" w:hAnsiTheme="majorHAnsi" w:cstheme="majorHAnsi"/>
          <w:b/>
          <w:bCs/>
          <w:sz w:val="24"/>
          <w:szCs w:val="24"/>
          <w:lang w:val="pt-PT"/>
        </w:rPr>
        <w:t xml:space="preserve"> horas</w:t>
      </w:r>
      <w:r w:rsidR="00407189" w:rsidRPr="00086193">
        <w:rPr>
          <w:rFonts w:asciiTheme="majorHAnsi" w:hAnsiTheme="majorHAnsi" w:cstheme="majorHAnsi"/>
          <w:b/>
          <w:bCs/>
          <w:sz w:val="24"/>
          <w:szCs w:val="24"/>
          <w:lang w:val="pt-PT"/>
        </w:rPr>
        <w:t>.</w:t>
      </w:r>
    </w:p>
    <w:p w14:paraId="1CE6941E"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Local: www.comprasnet.com.br</w:t>
      </w:r>
    </w:p>
    <w:p w14:paraId="54CCFD44"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RAZÃO SOCIAL DA LICITANTE:</w:t>
      </w:r>
    </w:p>
    <w:p w14:paraId="571D06A6"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CNPJ:</w:t>
      </w:r>
    </w:p>
    <w:p w14:paraId="0F94EC3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ENDEREÇO:</w:t>
      </w:r>
    </w:p>
    <w:p w14:paraId="5F35DE2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TELEFONE/FAX/E-MAIL:</w:t>
      </w:r>
    </w:p>
    <w:p w14:paraId="30977906"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DADOS BANCÁRIOS (OPCIONAL):</w:t>
      </w:r>
    </w:p>
    <w:p w14:paraId="0A127890" w14:textId="625236EF" w:rsidR="00E35783" w:rsidRPr="00086193" w:rsidRDefault="00CF4286" w:rsidP="009B4131">
      <w:pPr>
        <w:spacing w:line="240" w:lineRule="auto"/>
        <w:ind w:left="0" w:hanging="2"/>
        <w:jc w:val="center"/>
        <w:rPr>
          <w:rFonts w:asciiTheme="majorHAnsi" w:eastAsia="Calibri" w:hAnsiTheme="majorHAnsi" w:cstheme="majorHAnsi"/>
          <w:b/>
          <w:bCs/>
          <w:sz w:val="24"/>
          <w:szCs w:val="24"/>
        </w:rPr>
      </w:pPr>
      <w:r w:rsidRPr="00086193">
        <w:rPr>
          <w:rFonts w:asciiTheme="majorHAnsi" w:eastAsia="Calibri" w:hAnsiTheme="majorHAnsi" w:cstheme="majorHAnsi"/>
          <w:b/>
          <w:bCs/>
          <w:sz w:val="24"/>
          <w:szCs w:val="24"/>
        </w:rPr>
        <w:t>PLANILHA DE ESPECIFICAÇÃO</w:t>
      </w:r>
    </w:p>
    <w:p w14:paraId="3790B4EA" w14:textId="77777777" w:rsidR="006C56D3" w:rsidRPr="00086193" w:rsidRDefault="006C56D3" w:rsidP="009B4131">
      <w:pPr>
        <w:spacing w:line="240" w:lineRule="auto"/>
        <w:ind w:left="0" w:hanging="2"/>
        <w:jc w:val="center"/>
        <w:rPr>
          <w:rFonts w:asciiTheme="majorHAnsi" w:eastAsia="Calibri" w:hAnsiTheme="majorHAnsi" w:cstheme="majorHAnsi"/>
          <w:b/>
          <w:bCs/>
          <w:sz w:val="24"/>
          <w:szCs w:val="24"/>
        </w:rPr>
      </w:pPr>
    </w:p>
    <w:tbl>
      <w:tblPr>
        <w:tblStyle w:val="Tabelacomgrade"/>
        <w:tblW w:w="9640" w:type="dxa"/>
        <w:tblInd w:w="-998" w:type="dxa"/>
        <w:tblLayout w:type="fixed"/>
        <w:tblLook w:val="04A0" w:firstRow="1" w:lastRow="0" w:firstColumn="1" w:lastColumn="0" w:noHBand="0" w:noVBand="1"/>
      </w:tblPr>
      <w:tblGrid>
        <w:gridCol w:w="680"/>
        <w:gridCol w:w="816"/>
        <w:gridCol w:w="889"/>
        <w:gridCol w:w="4071"/>
        <w:gridCol w:w="1363"/>
        <w:gridCol w:w="1821"/>
      </w:tblGrid>
      <w:tr w:rsidR="00074593" w14:paraId="45453E28" w14:textId="77777777" w:rsidTr="00074593">
        <w:tc>
          <w:tcPr>
            <w:tcW w:w="680" w:type="dxa"/>
            <w:shd w:val="clear" w:color="auto" w:fill="BFBFBF" w:themeFill="background1" w:themeFillShade="BF"/>
          </w:tcPr>
          <w:p w14:paraId="3C758894" w14:textId="44AD3BD7"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Item</w:t>
            </w:r>
          </w:p>
        </w:tc>
        <w:tc>
          <w:tcPr>
            <w:tcW w:w="816" w:type="dxa"/>
            <w:shd w:val="clear" w:color="auto" w:fill="BFBFBF" w:themeFill="background1" w:themeFillShade="BF"/>
          </w:tcPr>
          <w:p w14:paraId="04055DED" w14:textId="5639F7D2"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roofErr w:type="spellStart"/>
            <w:r w:rsidRPr="00620A05">
              <w:rPr>
                <w:rFonts w:asciiTheme="majorHAnsi" w:eastAsia="Calibri" w:hAnsiTheme="majorHAnsi" w:cstheme="majorHAnsi"/>
                <w:b/>
                <w:bCs/>
                <w:sz w:val="24"/>
                <w:szCs w:val="24"/>
              </w:rPr>
              <w:t>Und</w:t>
            </w:r>
            <w:proofErr w:type="spellEnd"/>
          </w:p>
        </w:tc>
        <w:tc>
          <w:tcPr>
            <w:tcW w:w="889" w:type="dxa"/>
            <w:shd w:val="clear" w:color="auto" w:fill="BFBFBF" w:themeFill="background1" w:themeFillShade="BF"/>
          </w:tcPr>
          <w:p w14:paraId="5CF0FD80" w14:textId="3CC90268"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roofErr w:type="spellStart"/>
            <w:r>
              <w:rPr>
                <w:rFonts w:asciiTheme="majorHAnsi" w:eastAsia="Calibri" w:hAnsiTheme="majorHAnsi" w:cstheme="majorHAnsi"/>
                <w:b/>
                <w:bCs/>
                <w:sz w:val="24"/>
                <w:szCs w:val="24"/>
              </w:rPr>
              <w:t>Qnt</w:t>
            </w:r>
            <w:proofErr w:type="spellEnd"/>
          </w:p>
        </w:tc>
        <w:tc>
          <w:tcPr>
            <w:tcW w:w="4071" w:type="dxa"/>
            <w:shd w:val="clear" w:color="auto" w:fill="BFBFBF" w:themeFill="background1" w:themeFillShade="BF"/>
            <w:vAlign w:val="center"/>
          </w:tcPr>
          <w:p w14:paraId="4456ED38" w14:textId="1364B4B6"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Descrição</w:t>
            </w:r>
          </w:p>
        </w:tc>
        <w:tc>
          <w:tcPr>
            <w:tcW w:w="1363" w:type="dxa"/>
            <w:shd w:val="clear" w:color="auto" w:fill="BFBFBF" w:themeFill="background1" w:themeFillShade="BF"/>
          </w:tcPr>
          <w:p w14:paraId="2439FE61" w14:textId="7FD2942B"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Valor Unit.</w:t>
            </w:r>
          </w:p>
        </w:tc>
        <w:tc>
          <w:tcPr>
            <w:tcW w:w="1821" w:type="dxa"/>
            <w:shd w:val="clear" w:color="auto" w:fill="BFBFBF" w:themeFill="background1" w:themeFillShade="BF"/>
          </w:tcPr>
          <w:p w14:paraId="5FE091C6" w14:textId="149BD63F"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Valor Total</w:t>
            </w:r>
          </w:p>
        </w:tc>
      </w:tr>
      <w:tr w:rsidR="00074593" w14:paraId="198024F7" w14:textId="77777777" w:rsidTr="00074593">
        <w:trPr>
          <w:trHeight w:val="1682"/>
        </w:trPr>
        <w:tc>
          <w:tcPr>
            <w:tcW w:w="680" w:type="dxa"/>
          </w:tcPr>
          <w:p w14:paraId="0C6E6D96" w14:textId="573A2154"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01</w:t>
            </w:r>
          </w:p>
        </w:tc>
        <w:tc>
          <w:tcPr>
            <w:tcW w:w="816" w:type="dxa"/>
          </w:tcPr>
          <w:p w14:paraId="036EB9EF" w14:textId="45FE0151"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49DFC045" w14:textId="2021389A"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3.000</w:t>
            </w:r>
          </w:p>
        </w:tc>
        <w:tc>
          <w:tcPr>
            <w:tcW w:w="4071" w:type="dxa"/>
          </w:tcPr>
          <w:p w14:paraId="12462F27" w14:textId="6818E115" w:rsidR="00074593" w:rsidRPr="00C02C03" w:rsidRDefault="00074593" w:rsidP="00074593">
            <w:pPr>
              <w:pStyle w:val="Default"/>
              <w:ind w:left="0" w:hanging="2"/>
              <w:jc w:val="both"/>
              <w:rPr>
                <w:rFonts w:asciiTheme="majorHAnsi" w:eastAsia="Calibri" w:hAnsiTheme="majorHAnsi" w:cstheme="majorHAnsi"/>
              </w:rPr>
            </w:pPr>
            <w:r>
              <w:rPr>
                <w:rFonts w:ascii="Times New Roman" w:hAnsi="Times New Roman" w:cs="Times New Roman"/>
              </w:rPr>
              <w:t xml:space="preserve">Fórmula infantil em pó, a base de proteína do soro de leite extensamente hidrolisada, com lactose e adição de prebióticos e ácidos graxos de cadeia longa - </w:t>
            </w:r>
            <w:proofErr w:type="spellStart"/>
            <w:r>
              <w:rPr>
                <w:rFonts w:ascii="Times New Roman" w:hAnsi="Times New Roman" w:cs="Times New Roman"/>
              </w:rPr>
              <w:t>LcPUFAs</w:t>
            </w:r>
            <w:proofErr w:type="spellEnd"/>
            <w:r>
              <w:rPr>
                <w:rFonts w:ascii="Times New Roman" w:hAnsi="Times New Roman" w:cs="Times New Roman"/>
              </w:rPr>
              <w:t xml:space="preserve"> (DHA – ácido </w:t>
            </w:r>
            <w:proofErr w:type="spellStart"/>
            <w:r>
              <w:rPr>
                <w:rFonts w:ascii="Times New Roman" w:hAnsi="Times New Roman" w:cs="Times New Roman"/>
              </w:rPr>
              <w:t>ocosahexaenóico</w:t>
            </w:r>
            <w:proofErr w:type="spellEnd"/>
            <w:r>
              <w:rPr>
                <w:rFonts w:ascii="Times New Roman" w:hAnsi="Times New Roman" w:cs="Times New Roman"/>
              </w:rPr>
              <w:t xml:space="preserve"> e ARA – ácido araquidônico. Contém LC-</w:t>
            </w:r>
            <w:proofErr w:type="spellStart"/>
            <w:r>
              <w:rPr>
                <w:rFonts w:ascii="Times New Roman" w:hAnsi="Times New Roman" w:cs="Times New Roman"/>
              </w:rPr>
              <w:t>Pufas</w:t>
            </w:r>
            <w:proofErr w:type="spellEnd"/>
            <w:r>
              <w:rPr>
                <w:rFonts w:ascii="Times New Roman" w:hAnsi="Times New Roman" w:cs="Times New Roman"/>
              </w:rPr>
              <w:t xml:space="preserve"> – ácidos graxos de cadeia longa e Prebióticos. Lata 400g.Prazo de validade mínimo: 12 MESES. Referência: </w:t>
            </w:r>
            <w:proofErr w:type="spellStart"/>
            <w:r>
              <w:rPr>
                <w:rFonts w:ascii="Times New Roman" w:hAnsi="Times New Roman" w:cs="Times New Roman"/>
                <w:b/>
                <w:bCs/>
              </w:rPr>
              <w:t>Aptamil</w:t>
            </w:r>
            <w:proofErr w:type="spellEnd"/>
            <w:r>
              <w:rPr>
                <w:rFonts w:ascii="Times New Roman" w:hAnsi="Times New Roman" w:cs="Times New Roman"/>
                <w:b/>
                <w:bCs/>
              </w:rPr>
              <w:t xml:space="preserve"> </w:t>
            </w:r>
            <w:proofErr w:type="spellStart"/>
            <w:r>
              <w:rPr>
                <w:rFonts w:ascii="Times New Roman" w:hAnsi="Times New Roman" w:cs="Times New Roman"/>
                <w:b/>
                <w:bCs/>
              </w:rPr>
              <w:t>Pepti</w:t>
            </w:r>
            <w:proofErr w:type="spellEnd"/>
          </w:p>
          <w:p w14:paraId="3FB76014" w14:textId="358537D9" w:rsidR="00074593" w:rsidRPr="00C02C03" w:rsidRDefault="00074593" w:rsidP="00D322B4">
            <w:pPr>
              <w:spacing w:line="240" w:lineRule="auto"/>
              <w:ind w:leftChars="0" w:left="0" w:firstLineChars="0" w:firstLine="0"/>
              <w:jc w:val="both"/>
              <w:rPr>
                <w:rFonts w:asciiTheme="majorHAnsi" w:eastAsia="Calibri" w:hAnsiTheme="majorHAnsi" w:cstheme="majorHAnsi"/>
                <w:sz w:val="24"/>
                <w:szCs w:val="24"/>
              </w:rPr>
            </w:pPr>
          </w:p>
        </w:tc>
        <w:tc>
          <w:tcPr>
            <w:tcW w:w="1363" w:type="dxa"/>
          </w:tcPr>
          <w:p w14:paraId="27DFE49E" w14:textId="59782056"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53525B29" w14:textId="496C43F6"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074593" w14:paraId="11085F78" w14:textId="77777777" w:rsidTr="00074593">
        <w:trPr>
          <w:trHeight w:val="841"/>
        </w:trPr>
        <w:tc>
          <w:tcPr>
            <w:tcW w:w="680" w:type="dxa"/>
          </w:tcPr>
          <w:p w14:paraId="06F79E26" w14:textId="139DA25F"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02</w:t>
            </w:r>
          </w:p>
        </w:tc>
        <w:tc>
          <w:tcPr>
            <w:tcW w:w="816" w:type="dxa"/>
          </w:tcPr>
          <w:p w14:paraId="647ACA01" w14:textId="01B91070"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55A47D07" w14:textId="74B89D61"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3.000</w:t>
            </w:r>
          </w:p>
        </w:tc>
        <w:tc>
          <w:tcPr>
            <w:tcW w:w="4071" w:type="dxa"/>
          </w:tcPr>
          <w:p w14:paraId="32478433" w14:textId="77777777" w:rsidR="00074593" w:rsidRDefault="00074593" w:rsidP="00D322B4">
            <w:pPr>
              <w:pStyle w:val="Default"/>
              <w:ind w:left="0" w:hanging="2"/>
              <w:jc w:val="both"/>
              <w:rPr>
                <w:rFonts w:ascii="Times New Roman" w:hAnsi="Times New Roman" w:cs="Times New Roman"/>
                <w:b/>
                <w:bCs/>
              </w:rPr>
            </w:pPr>
            <w:r>
              <w:rPr>
                <w:rFonts w:ascii="Times New Roman" w:hAnsi="Times New Roman" w:cs="Times New Roman"/>
              </w:rPr>
              <w:t xml:space="preserve">Fórmula infantil de partida e seguimento para lactentes e crianças de 0 a 36 meses, polimérica, nutricionalmente completa, para nutrição enteral/oral, hipercalórica, com ótima oferta </w:t>
            </w:r>
            <w:proofErr w:type="spellStart"/>
            <w:r>
              <w:rPr>
                <w:rFonts w:ascii="Times New Roman" w:hAnsi="Times New Roman" w:cs="Times New Roman"/>
              </w:rPr>
              <w:t>protéica</w:t>
            </w:r>
            <w:proofErr w:type="spellEnd"/>
            <w:r>
              <w:rPr>
                <w:rFonts w:ascii="Times New Roman" w:hAnsi="Times New Roman" w:cs="Times New Roman"/>
              </w:rPr>
              <w:t xml:space="preserve">. Contém adição de </w:t>
            </w:r>
            <w:proofErr w:type="spellStart"/>
            <w:r>
              <w:rPr>
                <w:rFonts w:ascii="Times New Roman" w:hAnsi="Times New Roman" w:cs="Times New Roman"/>
              </w:rPr>
              <w:t>LCPufas</w:t>
            </w:r>
            <w:proofErr w:type="spellEnd"/>
            <w:r>
              <w:rPr>
                <w:rFonts w:ascii="Times New Roman" w:hAnsi="Times New Roman" w:cs="Times New Roman"/>
              </w:rPr>
              <w:t xml:space="preserve">, nucleotídeos e uma mistura exclusiva de prebióticos </w:t>
            </w:r>
            <w:r>
              <w:rPr>
                <w:rFonts w:ascii="Times New Roman" w:hAnsi="Times New Roman" w:cs="Times New Roman"/>
              </w:rPr>
              <w:lastRenderedPageBreak/>
              <w:t xml:space="preserve">(GOS/FOS). Isenta de sacarose e glúten. Densidade calórica 1,0 Kcal/ml. Lata 400g. Prazo de validade mínimo: 12 </w:t>
            </w:r>
            <w:proofErr w:type="spellStart"/>
            <w:r>
              <w:rPr>
                <w:rFonts w:ascii="Times New Roman" w:hAnsi="Times New Roman" w:cs="Times New Roman"/>
              </w:rPr>
              <w:t>MESES.Referência</w:t>
            </w:r>
            <w:proofErr w:type="spellEnd"/>
            <w:r>
              <w:rPr>
                <w:rFonts w:ascii="Times New Roman" w:hAnsi="Times New Roman" w:cs="Times New Roman"/>
              </w:rPr>
              <w:t xml:space="preserve">: </w:t>
            </w:r>
            <w:proofErr w:type="spellStart"/>
            <w:r>
              <w:rPr>
                <w:rFonts w:ascii="Times New Roman" w:hAnsi="Times New Roman" w:cs="Times New Roman"/>
                <w:b/>
                <w:bCs/>
              </w:rPr>
              <w:t>Intafrini</w:t>
            </w:r>
            <w:proofErr w:type="spellEnd"/>
          </w:p>
          <w:p w14:paraId="225D4844" w14:textId="3FF23221" w:rsidR="005158D6" w:rsidRPr="00C02C03" w:rsidRDefault="005158D6" w:rsidP="00D322B4">
            <w:pPr>
              <w:pStyle w:val="Default"/>
              <w:ind w:left="0" w:hanging="2"/>
              <w:jc w:val="both"/>
              <w:rPr>
                <w:rFonts w:asciiTheme="majorHAnsi" w:hAnsiTheme="majorHAnsi" w:cstheme="majorHAnsi"/>
              </w:rPr>
            </w:pPr>
          </w:p>
        </w:tc>
        <w:tc>
          <w:tcPr>
            <w:tcW w:w="1363" w:type="dxa"/>
          </w:tcPr>
          <w:p w14:paraId="6CAFEF34" w14:textId="18AFEF08"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34789567" w14:textId="707D79A0"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074593" w14:paraId="331B9E6D" w14:textId="77777777" w:rsidTr="00074593">
        <w:trPr>
          <w:trHeight w:val="1682"/>
        </w:trPr>
        <w:tc>
          <w:tcPr>
            <w:tcW w:w="680" w:type="dxa"/>
          </w:tcPr>
          <w:p w14:paraId="78AE050B" w14:textId="78A734C8"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03</w:t>
            </w:r>
          </w:p>
        </w:tc>
        <w:tc>
          <w:tcPr>
            <w:tcW w:w="816" w:type="dxa"/>
          </w:tcPr>
          <w:p w14:paraId="47046271" w14:textId="3F2B8ED1"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0E41752D" w14:textId="4187E98D"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3.000</w:t>
            </w:r>
          </w:p>
        </w:tc>
        <w:tc>
          <w:tcPr>
            <w:tcW w:w="4071" w:type="dxa"/>
          </w:tcPr>
          <w:p w14:paraId="3DB61F03" w14:textId="77777777" w:rsidR="00074593" w:rsidRDefault="00074593" w:rsidP="00D322B4">
            <w:pPr>
              <w:pStyle w:val="Default"/>
              <w:ind w:left="0" w:hanging="2"/>
              <w:jc w:val="both"/>
              <w:rPr>
                <w:rFonts w:asciiTheme="majorHAnsi" w:hAnsiTheme="majorHAnsi" w:cstheme="majorHAnsi"/>
              </w:rPr>
            </w:pPr>
            <w:r>
              <w:rPr>
                <w:rFonts w:ascii="Times New Roman" w:hAnsi="Times New Roman" w:cs="Times New Roman"/>
              </w:rPr>
              <w:t xml:space="preserve">Fórmula infantil elementar para lactentes e de seguimento para lactentes e crianças de primeira infância para necessidades dietoterápicas específicas, nutricionalmente completa e isenta de proteína láctea, lactose, sacarose, </w:t>
            </w:r>
            <w:proofErr w:type="spellStart"/>
            <w:proofErr w:type="gramStart"/>
            <w:r>
              <w:rPr>
                <w:rFonts w:ascii="Times New Roman" w:hAnsi="Times New Roman" w:cs="Times New Roman"/>
              </w:rPr>
              <w:t>frutose,galactose</w:t>
            </w:r>
            <w:proofErr w:type="spellEnd"/>
            <w:proofErr w:type="gramEnd"/>
            <w:r>
              <w:rPr>
                <w:rFonts w:ascii="Times New Roman" w:hAnsi="Times New Roman" w:cs="Times New Roman"/>
              </w:rPr>
              <w:t xml:space="preserve">, óleo de soja e ingredientes de origem animal. Não contém óleo de soja na composição. Contém aminoácidos livres e sintéticos. Adicionada de </w:t>
            </w:r>
            <w:proofErr w:type="spellStart"/>
            <w:r>
              <w:rPr>
                <w:rFonts w:ascii="Times New Roman" w:hAnsi="Times New Roman" w:cs="Times New Roman"/>
              </w:rPr>
              <w:t>LCPufas</w:t>
            </w:r>
            <w:proofErr w:type="spellEnd"/>
            <w:r>
              <w:rPr>
                <w:rFonts w:ascii="Times New Roman" w:hAnsi="Times New Roman" w:cs="Times New Roman"/>
              </w:rPr>
              <w:t xml:space="preserve"> (ARA e DHA) e nucleotídeos. Indicações: alimentação de lactentes e de seguimento para lactentes e crianças de primeira infância com alergia alimentar (ao leite de vaca, à soja, a hidrolisados e a múltiplas proteínas). NÃO CONTÉM GLÚTEN. Lata 400g. Referência: </w:t>
            </w:r>
            <w:proofErr w:type="spellStart"/>
            <w:r>
              <w:rPr>
                <w:rFonts w:ascii="Times New Roman" w:hAnsi="Times New Roman" w:cs="Times New Roman"/>
                <w:b/>
                <w:bCs/>
              </w:rPr>
              <w:t>Neocate</w:t>
            </w:r>
            <w:proofErr w:type="spellEnd"/>
            <w:r>
              <w:rPr>
                <w:rFonts w:ascii="Times New Roman" w:hAnsi="Times New Roman" w:cs="Times New Roman"/>
                <w:b/>
                <w:bCs/>
              </w:rPr>
              <w:t xml:space="preserve"> LCP</w:t>
            </w:r>
            <w:r w:rsidRPr="00C02C03">
              <w:rPr>
                <w:rFonts w:asciiTheme="majorHAnsi" w:hAnsiTheme="majorHAnsi" w:cstheme="majorHAnsi"/>
              </w:rPr>
              <w:t xml:space="preserve"> </w:t>
            </w:r>
          </w:p>
          <w:p w14:paraId="0038F6F3" w14:textId="0636180C" w:rsidR="005158D6" w:rsidRPr="00C02C03" w:rsidRDefault="005158D6" w:rsidP="00D322B4">
            <w:pPr>
              <w:pStyle w:val="Default"/>
              <w:ind w:left="0" w:hanging="2"/>
              <w:jc w:val="both"/>
              <w:rPr>
                <w:rFonts w:asciiTheme="majorHAnsi" w:hAnsiTheme="majorHAnsi" w:cstheme="majorHAnsi"/>
              </w:rPr>
            </w:pPr>
          </w:p>
        </w:tc>
        <w:tc>
          <w:tcPr>
            <w:tcW w:w="1363" w:type="dxa"/>
          </w:tcPr>
          <w:p w14:paraId="095EBB89" w14:textId="163DB223"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124D1B43" w14:textId="3071BBC8"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074593" w14:paraId="3790D2C3" w14:textId="77777777" w:rsidTr="00074593">
        <w:trPr>
          <w:trHeight w:val="1682"/>
        </w:trPr>
        <w:tc>
          <w:tcPr>
            <w:tcW w:w="680" w:type="dxa"/>
          </w:tcPr>
          <w:p w14:paraId="721E9E5A" w14:textId="3B709B86"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04</w:t>
            </w:r>
          </w:p>
        </w:tc>
        <w:tc>
          <w:tcPr>
            <w:tcW w:w="816" w:type="dxa"/>
          </w:tcPr>
          <w:p w14:paraId="1BADE273" w14:textId="2521021D"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78D52413" w14:textId="46CE2D52"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3.000</w:t>
            </w:r>
          </w:p>
        </w:tc>
        <w:tc>
          <w:tcPr>
            <w:tcW w:w="4071" w:type="dxa"/>
          </w:tcPr>
          <w:p w14:paraId="02E7F65A" w14:textId="2AC58811" w:rsidR="00074593" w:rsidRPr="00C02C03" w:rsidRDefault="00074593" w:rsidP="00074593">
            <w:pPr>
              <w:pStyle w:val="Default"/>
              <w:ind w:left="0" w:hanging="2"/>
              <w:jc w:val="both"/>
              <w:rPr>
                <w:rFonts w:asciiTheme="majorHAnsi" w:hAnsiTheme="majorHAnsi" w:cstheme="majorHAnsi"/>
              </w:rPr>
            </w:pPr>
            <w:r>
              <w:rPr>
                <w:rFonts w:ascii="Times New Roman" w:hAnsi="Times New Roman" w:cs="Times New Roman"/>
              </w:rPr>
              <w:t xml:space="preserve">Fórmula pediátrica para nutrição enteral e oral, em pó, nutricionalmente completa e rica em vitaminas e minerais. Permite preparo na diluição 1,5kcal/ml. Isento de lactose. Não contém </w:t>
            </w:r>
            <w:proofErr w:type="spellStart"/>
            <w:r>
              <w:rPr>
                <w:rFonts w:ascii="Times New Roman" w:hAnsi="Times New Roman" w:cs="Times New Roman"/>
              </w:rPr>
              <w:t>gluten</w:t>
            </w:r>
            <w:proofErr w:type="spellEnd"/>
            <w:r>
              <w:rPr>
                <w:rFonts w:ascii="Times New Roman" w:hAnsi="Times New Roman" w:cs="Times New Roman"/>
              </w:rPr>
              <w:t xml:space="preserve">. Indicações: Crianças em risco nutricional, desnutridas ou com desaceleração do crescimento; com doenças crônicas. Lata 400g, sabor baunilha ou sem sabor, o que permite a adição </w:t>
            </w:r>
            <w:proofErr w:type="gramStart"/>
            <w:r>
              <w:rPr>
                <w:rFonts w:ascii="Times New Roman" w:hAnsi="Times New Roman" w:cs="Times New Roman"/>
              </w:rPr>
              <w:t>à</w:t>
            </w:r>
            <w:proofErr w:type="gramEnd"/>
            <w:r>
              <w:rPr>
                <w:rFonts w:ascii="Times New Roman" w:hAnsi="Times New Roman" w:cs="Times New Roman"/>
              </w:rPr>
              <w:t xml:space="preserve"> preparações salgadas ou </w:t>
            </w:r>
            <w:proofErr w:type="spellStart"/>
            <w:proofErr w:type="gramStart"/>
            <w:r>
              <w:rPr>
                <w:rFonts w:ascii="Times New Roman" w:hAnsi="Times New Roman" w:cs="Times New Roman"/>
              </w:rPr>
              <w:t>doces.Prazo</w:t>
            </w:r>
            <w:proofErr w:type="spellEnd"/>
            <w:proofErr w:type="gramEnd"/>
            <w:r>
              <w:rPr>
                <w:rFonts w:ascii="Times New Roman" w:hAnsi="Times New Roman" w:cs="Times New Roman"/>
              </w:rPr>
              <w:t xml:space="preserve"> de validade mínimo: 12 MESES. Referência: </w:t>
            </w:r>
            <w:proofErr w:type="spellStart"/>
            <w:r>
              <w:rPr>
                <w:rFonts w:ascii="Times New Roman" w:hAnsi="Times New Roman" w:cs="Times New Roman"/>
                <w:b/>
                <w:bCs/>
              </w:rPr>
              <w:t>Fortini</w:t>
            </w:r>
            <w:proofErr w:type="spellEnd"/>
            <w:r>
              <w:rPr>
                <w:rFonts w:ascii="Times New Roman" w:hAnsi="Times New Roman" w:cs="Times New Roman"/>
                <w:b/>
                <w:bCs/>
              </w:rPr>
              <w:t xml:space="preserve"> Plus</w:t>
            </w:r>
          </w:p>
          <w:p w14:paraId="23D5E5FD" w14:textId="75561075" w:rsidR="00074593" w:rsidRPr="00C02C03" w:rsidRDefault="00074593" w:rsidP="00D322B4">
            <w:pPr>
              <w:pStyle w:val="Default"/>
              <w:ind w:left="0" w:hanging="2"/>
              <w:jc w:val="both"/>
              <w:rPr>
                <w:rFonts w:asciiTheme="majorHAnsi" w:hAnsiTheme="majorHAnsi" w:cstheme="majorHAnsi"/>
              </w:rPr>
            </w:pPr>
          </w:p>
        </w:tc>
        <w:tc>
          <w:tcPr>
            <w:tcW w:w="1363" w:type="dxa"/>
          </w:tcPr>
          <w:p w14:paraId="6ADC5A75" w14:textId="6E8A7100"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228731DE" w14:textId="57E7B152"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074593" w14:paraId="1AE36BAF" w14:textId="77777777" w:rsidTr="005158D6">
        <w:trPr>
          <w:trHeight w:val="1408"/>
        </w:trPr>
        <w:tc>
          <w:tcPr>
            <w:tcW w:w="680" w:type="dxa"/>
          </w:tcPr>
          <w:p w14:paraId="4DD6CB7E" w14:textId="31F91E60"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05</w:t>
            </w:r>
          </w:p>
        </w:tc>
        <w:tc>
          <w:tcPr>
            <w:tcW w:w="816" w:type="dxa"/>
          </w:tcPr>
          <w:p w14:paraId="44498747" w14:textId="43F74B5C"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53D774DA" w14:textId="01A8E1C8"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3.000</w:t>
            </w:r>
          </w:p>
        </w:tc>
        <w:tc>
          <w:tcPr>
            <w:tcW w:w="4071" w:type="dxa"/>
          </w:tcPr>
          <w:p w14:paraId="71DDF2C0" w14:textId="77777777" w:rsidR="00074593" w:rsidRDefault="00074593" w:rsidP="00074593">
            <w:pPr>
              <w:pStyle w:val="Default"/>
              <w:ind w:left="0" w:hanging="2"/>
              <w:jc w:val="both"/>
              <w:rPr>
                <w:rFonts w:ascii="Times New Roman" w:hAnsi="Times New Roman" w:cs="Times New Roman"/>
                <w:b/>
                <w:bCs/>
              </w:rPr>
            </w:pPr>
            <w:r>
              <w:rPr>
                <w:rFonts w:ascii="Times New Roman" w:hAnsi="Times New Roman" w:cs="Times New Roman"/>
              </w:rPr>
              <w:t xml:space="preserve">Suplemento alimentar à base de fibras alimentares solúveis e insolúveis que auxiliam o funcionamento do intestino. Ingredientes: Amido resistente de milho com alto teor de amilose, </w:t>
            </w:r>
            <w:proofErr w:type="spellStart"/>
            <w:r>
              <w:rPr>
                <w:rFonts w:ascii="Times New Roman" w:hAnsi="Times New Roman" w:cs="Times New Roman"/>
              </w:rPr>
              <w:t>frutooligosacarídeos</w:t>
            </w:r>
            <w:proofErr w:type="spellEnd"/>
            <w:r>
              <w:rPr>
                <w:rFonts w:ascii="Times New Roman" w:hAnsi="Times New Roman" w:cs="Times New Roman"/>
              </w:rPr>
              <w:t xml:space="preserve"> (FOS), inulina e </w:t>
            </w:r>
            <w:proofErr w:type="spellStart"/>
            <w:r>
              <w:rPr>
                <w:rFonts w:ascii="Times New Roman" w:hAnsi="Times New Roman" w:cs="Times New Roman"/>
              </w:rPr>
              <w:t>antiumectante</w:t>
            </w:r>
            <w:proofErr w:type="spellEnd"/>
            <w:r>
              <w:rPr>
                <w:rFonts w:ascii="Times New Roman" w:hAnsi="Times New Roman" w:cs="Times New Roman"/>
              </w:rPr>
              <w:t xml:space="preserve"> dióxido de silício. Isento de glúten. Suplemento alimentar de uso adulto e infantil (a partir de 4 anos de </w:t>
            </w:r>
            <w:r>
              <w:rPr>
                <w:rFonts w:ascii="Times New Roman" w:hAnsi="Times New Roman" w:cs="Times New Roman"/>
              </w:rPr>
              <w:lastRenderedPageBreak/>
              <w:t xml:space="preserve">idade. Pode ser adicionado a qualquer tipo de alimento ou bebida, não alterando a textura, a cor ou sabor dos alimentos. Fácil solubilidade. Lata 400g. Prazo de validade mínimo: 12 </w:t>
            </w:r>
            <w:proofErr w:type="spellStart"/>
            <w:r>
              <w:rPr>
                <w:rFonts w:ascii="Times New Roman" w:hAnsi="Times New Roman" w:cs="Times New Roman"/>
              </w:rPr>
              <w:t>MESES.Referência</w:t>
            </w:r>
            <w:proofErr w:type="spellEnd"/>
            <w:r>
              <w:rPr>
                <w:rFonts w:ascii="Times New Roman" w:hAnsi="Times New Roman" w:cs="Times New Roman"/>
              </w:rPr>
              <w:t xml:space="preserve"> </w:t>
            </w:r>
            <w:proofErr w:type="spellStart"/>
            <w:r>
              <w:rPr>
                <w:rFonts w:ascii="Times New Roman" w:hAnsi="Times New Roman" w:cs="Times New Roman"/>
                <w:b/>
                <w:bCs/>
              </w:rPr>
              <w:t>Fiberfor</w:t>
            </w:r>
            <w:proofErr w:type="spellEnd"/>
            <w:r>
              <w:rPr>
                <w:rFonts w:ascii="Times New Roman" w:hAnsi="Times New Roman" w:cs="Times New Roman"/>
                <w:b/>
                <w:bCs/>
              </w:rPr>
              <w:t xml:space="preserve"> 400g</w:t>
            </w:r>
          </w:p>
          <w:p w14:paraId="0BAAA2AB" w14:textId="0B569822" w:rsidR="005158D6" w:rsidRPr="00C02C03" w:rsidRDefault="005158D6" w:rsidP="00074593">
            <w:pPr>
              <w:pStyle w:val="Default"/>
              <w:ind w:left="0" w:hanging="2"/>
              <w:jc w:val="both"/>
              <w:rPr>
                <w:rFonts w:asciiTheme="majorHAnsi" w:hAnsiTheme="majorHAnsi" w:cstheme="majorHAnsi"/>
              </w:rPr>
            </w:pPr>
          </w:p>
        </w:tc>
        <w:tc>
          <w:tcPr>
            <w:tcW w:w="1363" w:type="dxa"/>
          </w:tcPr>
          <w:p w14:paraId="2AF4C13C" w14:textId="2A2CE9D0"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0AA5EF8B" w14:textId="501E0183"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074593" w14:paraId="19DED1C9" w14:textId="77777777" w:rsidTr="00074593">
        <w:trPr>
          <w:trHeight w:val="1682"/>
        </w:trPr>
        <w:tc>
          <w:tcPr>
            <w:tcW w:w="680" w:type="dxa"/>
          </w:tcPr>
          <w:p w14:paraId="5CED5B55" w14:textId="7061B744"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06</w:t>
            </w:r>
          </w:p>
        </w:tc>
        <w:tc>
          <w:tcPr>
            <w:tcW w:w="816" w:type="dxa"/>
          </w:tcPr>
          <w:p w14:paraId="18D5B29C" w14:textId="565EADE1"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5931BF45" w14:textId="30686DBC"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15.000</w:t>
            </w:r>
          </w:p>
        </w:tc>
        <w:tc>
          <w:tcPr>
            <w:tcW w:w="4071" w:type="dxa"/>
          </w:tcPr>
          <w:p w14:paraId="31A4C72A" w14:textId="77777777" w:rsidR="00074593" w:rsidRDefault="00074593" w:rsidP="00074593">
            <w:pPr>
              <w:pStyle w:val="Default"/>
              <w:ind w:left="0" w:hanging="2"/>
              <w:jc w:val="both"/>
              <w:rPr>
                <w:rFonts w:ascii="Times New Roman" w:hAnsi="Times New Roman" w:cs="Times New Roman"/>
                <w:b/>
                <w:bCs/>
              </w:rPr>
            </w:pPr>
            <w:r>
              <w:rPr>
                <w:rFonts w:ascii="Times New Roman" w:hAnsi="Times New Roman" w:cs="Times New Roman"/>
              </w:rPr>
              <w:t xml:space="preserve">Alimento nutricionalmente completo para uso enteral e oral indicado para pessoas que necessitam de nutrição especializada para recuperação e/ou manutenção do estado nutricional. Fórmula com Densidade Energética Normal, </w:t>
            </w:r>
            <w:proofErr w:type="spellStart"/>
            <w:r>
              <w:rPr>
                <w:rFonts w:ascii="Times New Roman" w:hAnsi="Times New Roman" w:cs="Times New Roman"/>
              </w:rPr>
              <w:t>Normocalórica</w:t>
            </w:r>
            <w:proofErr w:type="spellEnd"/>
            <w:r>
              <w:rPr>
                <w:rFonts w:ascii="Times New Roman" w:hAnsi="Times New Roman" w:cs="Times New Roman"/>
              </w:rPr>
              <w:t xml:space="preserve">, </w:t>
            </w:r>
            <w:proofErr w:type="spellStart"/>
            <w:r>
              <w:rPr>
                <w:rFonts w:ascii="Times New Roman" w:hAnsi="Times New Roman" w:cs="Times New Roman"/>
              </w:rPr>
              <w:t>Norproteica</w:t>
            </w:r>
            <w:proofErr w:type="spellEnd"/>
            <w:r>
              <w:rPr>
                <w:rFonts w:ascii="Times New Roman" w:hAnsi="Times New Roman" w:cs="Times New Roman"/>
              </w:rPr>
              <w:t xml:space="preserve">, </w:t>
            </w:r>
            <w:proofErr w:type="spellStart"/>
            <w:r>
              <w:rPr>
                <w:rFonts w:ascii="Times New Roman" w:hAnsi="Times New Roman" w:cs="Times New Roman"/>
              </w:rPr>
              <w:t>Normolipídica</w:t>
            </w:r>
            <w:proofErr w:type="spellEnd"/>
            <w:r>
              <w:rPr>
                <w:rFonts w:ascii="Times New Roman" w:hAnsi="Times New Roman" w:cs="Times New Roman"/>
              </w:rPr>
              <w:t xml:space="preserve"> e Hipossódica. Alimento instantâneo e de fácil solubilidade; Fonte de vitaminas e minerais; isento de sacarose e glúten. Lata 800g. Prazo de validade mínimo: 12 </w:t>
            </w:r>
            <w:proofErr w:type="spellStart"/>
            <w:r>
              <w:rPr>
                <w:rFonts w:ascii="Times New Roman" w:hAnsi="Times New Roman" w:cs="Times New Roman"/>
              </w:rPr>
              <w:t>MESES.Referência</w:t>
            </w:r>
            <w:proofErr w:type="spellEnd"/>
            <w:r>
              <w:rPr>
                <w:rFonts w:ascii="Times New Roman" w:hAnsi="Times New Roman" w:cs="Times New Roman"/>
              </w:rPr>
              <w:t xml:space="preserve">: </w:t>
            </w:r>
            <w:r>
              <w:rPr>
                <w:rFonts w:ascii="Times New Roman" w:hAnsi="Times New Roman" w:cs="Times New Roman"/>
                <w:b/>
                <w:bCs/>
              </w:rPr>
              <w:t xml:space="preserve">Enteral </w:t>
            </w:r>
            <w:proofErr w:type="spellStart"/>
            <w:r>
              <w:rPr>
                <w:rFonts w:ascii="Times New Roman" w:hAnsi="Times New Roman" w:cs="Times New Roman"/>
                <w:b/>
                <w:bCs/>
              </w:rPr>
              <w:t>Comp</w:t>
            </w:r>
            <w:proofErr w:type="spellEnd"/>
          </w:p>
          <w:p w14:paraId="6483A789" w14:textId="25BA0993" w:rsidR="005158D6" w:rsidRPr="00C02C03" w:rsidRDefault="005158D6" w:rsidP="00074593">
            <w:pPr>
              <w:pStyle w:val="Default"/>
              <w:ind w:left="0" w:hanging="2"/>
              <w:jc w:val="both"/>
              <w:rPr>
                <w:rFonts w:asciiTheme="majorHAnsi" w:hAnsiTheme="majorHAnsi" w:cstheme="majorHAnsi"/>
              </w:rPr>
            </w:pPr>
          </w:p>
        </w:tc>
        <w:tc>
          <w:tcPr>
            <w:tcW w:w="1363" w:type="dxa"/>
          </w:tcPr>
          <w:p w14:paraId="237E5563" w14:textId="1EB5A7E1"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409E7442" w14:textId="1812A7A2"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074593" w14:paraId="40DE7FB4" w14:textId="77777777" w:rsidTr="00074593">
        <w:trPr>
          <w:trHeight w:val="1682"/>
        </w:trPr>
        <w:tc>
          <w:tcPr>
            <w:tcW w:w="680" w:type="dxa"/>
          </w:tcPr>
          <w:p w14:paraId="18A39D61" w14:textId="1B04B0E4"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07</w:t>
            </w:r>
          </w:p>
        </w:tc>
        <w:tc>
          <w:tcPr>
            <w:tcW w:w="816" w:type="dxa"/>
          </w:tcPr>
          <w:p w14:paraId="57D9421E" w14:textId="61F5A501"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44CA555C" w14:textId="7C72C1DF"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3.000</w:t>
            </w:r>
          </w:p>
        </w:tc>
        <w:tc>
          <w:tcPr>
            <w:tcW w:w="4071" w:type="dxa"/>
          </w:tcPr>
          <w:p w14:paraId="5E61B3B5" w14:textId="77777777" w:rsidR="00074593" w:rsidRDefault="00074593" w:rsidP="00074593">
            <w:pPr>
              <w:pStyle w:val="Default"/>
              <w:ind w:left="0" w:hanging="2"/>
              <w:jc w:val="both"/>
              <w:rPr>
                <w:rFonts w:ascii="Times New Roman" w:hAnsi="Times New Roman" w:cs="Times New Roman"/>
                <w:b/>
                <w:bCs/>
              </w:rPr>
            </w:pPr>
            <w:r>
              <w:rPr>
                <w:rFonts w:ascii="Times New Roman" w:hAnsi="Times New Roman" w:cs="Times New Roman"/>
              </w:rPr>
              <w:t xml:space="preserve">Módulo de fibra alimentar para nutrição enteral e oral, a base de um mix de fibras solúveis e fibras insolúveis. Sem sabor. Lata de 300g no </w:t>
            </w:r>
            <w:proofErr w:type="gramStart"/>
            <w:r>
              <w:rPr>
                <w:rFonts w:ascii="Times New Roman" w:hAnsi="Times New Roman" w:cs="Times New Roman"/>
              </w:rPr>
              <w:t>mínimo  Prazo</w:t>
            </w:r>
            <w:proofErr w:type="gramEnd"/>
            <w:r>
              <w:rPr>
                <w:rFonts w:ascii="Times New Roman" w:hAnsi="Times New Roman" w:cs="Times New Roman"/>
              </w:rPr>
              <w:t xml:space="preserve"> de validade mínimo: 12 meses. Referência: </w:t>
            </w:r>
            <w:proofErr w:type="spellStart"/>
            <w:r>
              <w:rPr>
                <w:rFonts w:ascii="Times New Roman" w:hAnsi="Times New Roman" w:cs="Times New Roman"/>
                <w:b/>
                <w:bCs/>
              </w:rPr>
              <w:t>Sustap</w:t>
            </w:r>
            <w:proofErr w:type="spellEnd"/>
            <w:r>
              <w:rPr>
                <w:rFonts w:ascii="Times New Roman" w:hAnsi="Times New Roman" w:cs="Times New Roman"/>
                <w:b/>
                <w:bCs/>
              </w:rPr>
              <w:t xml:space="preserve"> Fibras</w:t>
            </w:r>
          </w:p>
          <w:p w14:paraId="213989CF" w14:textId="4093559B" w:rsidR="005158D6" w:rsidRPr="00C02C03" w:rsidRDefault="005158D6" w:rsidP="00074593">
            <w:pPr>
              <w:pStyle w:val="Default"/>
              <w:ind w:left="0" w:hanging="2"/>
              <w:jc w:val="both"/>
              <w:rPr>
                <w:rFonts w:asciiTheme="majorHAnsi" w:hAnsiTheme="majorHAnsi" w:cstheme="majorHAnsi"/>
              </w:rPr>
            </w:pPr>
          </w:p>
        </w:tc>
        <w:tc>
          <w:tcPr>
            <w:tcW w:w="1363" w:type="dxa"/>
          </w:tcPr>
          <w:p w14:paraId="3FFA7864" w14:textId="3088701C"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06E957EB" w14:textId="39F614CB"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074593" w14:paraId="7CF22EB4" w14:textId="77777777" w:rsidTr="00074593">
        <w:trPr>
          <w:trHeight w:val="1682"/>
        </w:trPr>
        <w:tc>
          <w:tcPr>
            <w:tcW w:w="680" w:type="dxa"/>
          </w:tcPr>
          <w:p w14:paraId="7C9B6E79" w14:textId="69EA80D6"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08</w:t>
            </w:r>
          </w:p>
        </w:tc>
        <w:tc>
          <w:tcPr>
            <w:tcW w:w="816" w:type="dxa"/>
          </w:tcPr>
          <w:p w14:paraId="71EA08B9" w14:textId="629EADD7"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3A5D8948" w14:textId="17A165E3"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20.000</w:t>
            </w:r>
          </w:p>
        </w:tc>
        <w:tc>
          <w:tcPr>
            <w:tcW w:w="4071" w:type="dxa"/>
          </w:tcPr>
          <w:p w14:paraId="7D8335A5" w14:textId="77777777" w:rsidR="00074593" w:rsidRDefault="006828CF" w:rsidP="00D322B4">
            <w:pPr>
              <w:pStyle w:val="Default"/>
              <w:ind w:left="0" w:hanging="2"/>
              <w:jc w:val="both"/>
              <w:rPr>
                <w:rFonts w:asciiTheme="majorHAnsi" w:hAnsiTheme="majorHAnsi" w:cstheme="majorHAnsi"/>
              </w:rPr>
            </w:pPr>
            <w:r>
              <w:rPr>
                <w:rFonts w:ascii="Times New Roman" w:hAnsi="Times New Roman" w:cs="Times New Roman"/>
                <w:b/>
                <w:bCs/>
              </w:rPr>
              <w:t xml:space="preserve">Frasco para alimentação </w:t>
            </w:r>
            <w:proofErr w:type="spellStart"/>
            <w:r>
              <w:rPr>
                <w:rFonts w:ascii="Times New Roman" w:hAnsi="Times New Roman" w:cs="Times New Roman"/>
                <w:b/>
                <w:bCs/>
              </w:rPr>
              <w:t>entera</w:t>
            </w:r>
            <w:r w:rsidR="00B34EB7">
              <w:rPr>
                <w:rFonts w:ascii="Times New Roman" w:hAnsi="Times New Roman" w:cs="Times New Roman"/>
                <w:b/>
                <w:bCs/>
              </w:rPr>
              <w:t>L</w:t>
            </w:r>
            <w:proofErr w:type="spellEnd"/>
            <w:r w:rsidR="00B34EB7">
              <w:rPr>
                <w:rFonts w:ascii="Times New Roman" w:hAnsi="Times New Roman" w:cs="Times New Roman"/>
              </w:rPr>
              <w:t xml:space="preserve"> Frasco com tampa para administração de dieta enteral em polietileno, graduado, com capacidade de 300ml, embalados individualmente. Prazo de Validade mínimo: 12 meses. Referência: </w:t>
            </w:r>
            <w:proofErr w:type="spellStart"/>
            <w:r w:rsidR="00B34EB7">
              <w:rPr>
                <w:rFonts w:ascii="Times New Roman" w:hAnsi="Times New Roman" w:cs="Times New Roman"/>
              </w:rPr>
              <w:t>Descarpack</w:t>
            </w:r>
            <w:proofErr w:type="spellEnd"/>
            <w:r w:rsidR="00074593" w:rsidRPr="00C02C03">
              <w:rPr>
                <w:rFonts w:asciiTheme="majorHAnsi" w:hAnsiTheme="majorHAnsi" w:cstheme="majorHAnsi"/>
              </w:rPr>
              <w:t xml:space="preserve"> </w:t>
            </w:r>
          </w:p>
          <w:p w14:paraId="31687489" w14:textId="58CFE854" w:rsidR="005158D6" w:rsidRPr="00C02C03" w:rsidRDefault="005158D6" w:rsidP="00D322B4">
            <w:pPr>
              <w:pStyle w:val="Default"/>
              <w:ind w:left="0" w:hanging="2"/>
              <w:jc w:val="both"/>
              <w:rPr>
                <w:rFonts w:asciiTheme="majorHAnsi" w:hAnsiTheme="majorHAnsi" w:cstheme="majorHAnsi"/>
              </w:rPr>
            </w:pPr>
          </w:p>
        </w:tc>
        <w:tc>
          <w:tcPr>
            <w:tcW w:w="1363" w:type="dxa"/>
          </w:tcPr>
          <w:p w14:paraId="5DEFF340" w14:textId="5E01AED2"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5953BFCE" w14:textId="7D41BD22"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B34EB7" w14:paraId="13E5A013" w14:textId="77777777" w:rsidTr="005158D6">
        <w:trPr>
          <w:trHeight w:val="839"/>
        </w:trPr>
        <w:tc>
          <w:tcPr>
            <w:tcW w:w="680" w:type="dxa"/>
          </w:tcPr>
          <w:p w14:paraId="28B59A99" w14:textId="1F78718C"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09</w:t>
            </w:r>
          </w:p>
        </w:tc>
        <w:tc>
          <w:tcPr>
            <w:tcW w:w="816" w:type="dxa"/>
          </w:tcPr>
          <w:p w14:paraId="59F8ABDC" w14:textId="7F992F48"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33E5ED51" w14:textId="17B1D58C"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2.000</w:t>
            </w:r>
          </w:p>
        </w:tc>
        <w:tc>
          <w:tcPr>
            <w:tcW w:w="4071" w:type="dxa"/>
          </w:tcPr>
          <w:p w14:paraId="044C7CF4" w14:textId="77777777" w:rsidR="00B34EB7" w:rsidRPr="00B34EB7" w:rsidRDefault="00B34EB7" w:rsidP="00B34EB7">
            <w:pPr>
              <w:pStyle w:val="Default"/>
              <w:ind w:left="0" w:hanging="2"/>
              <w:jc w:val="both"/>
              <w:rPr>
                <w:rFonts w:ascii="Times New Roman" w:hAnsi="Times New Roman" w:cs="Times New Roman"/>
                <w:bCs/>
              </w:rPr>
            </w:pPr>
            <w:r w:rsidRPr="00B34EB7">
              <w:rPr>
                <w:rFonts w:ascii="Times New Roman" w:hAnsi="Times New Roman" w:cs="Times New Roman"/>
                <w:b/>
                <w:bCs/>
              </w:rPr>
              <w:t xml:space="preserve">Suplemento alimentar </w:t>
            </w:r>
            <w:proofErr w:type="spellStart"/>
            <w:r w:rsidRPr="00B34EB7">
              <w:rPr>
                <w:rFonts w:ascii="Times New Roman" w:hAnsi="Times New Roman" w:cs="Times New Roman"/>
                <w:b/>
                <w:bCs/>
              </w:rPr>
              <w:t>protéico</w:t>
            </w:r>
            <w:proofErr w:type="spellEnd"/>
            <w:r w:rsidRPr="00B34EB7">
              <w:rPr>
                <w:rFonts w:ascii="Times New Roman" w:hAnsi="Times New Roman" w:cs="Times New Roman"/>
                <w:b/>
                <w:bCs/>
              </w:rPr>
              <w:t xml:space="preserve">                                                </w:t>
            </w:r>
            <w:r w:rsidRPr="00B34EB7">
              <w:rPr>
                <w:rFonts w:ascii="Times New Roman" w:hAnsi="Times New Roman" w:cs="Times New Roman"/>
                <w:bCs/>
              </w:rPr>
              <w:t xml:space="preserve">em pó para nutrição </w:t>
            </w:r>
            <w:proofErr w:type="gramStart"/>
            <w:r w:rsidRPr="00B34EB7">
              <w:rPr>
                <w:rFonts w:ascii="Times New Roman" w:hAnsi="Times New Roman" w:cs="Times New Roman"/>
                <w:bCs/>
              </w:rPr>
              <w:t>oral,  mínimo</w:t>
            </w:r>
            <w:proofErr w:type="gramEnd"/>
            <w:r w:rsidRPr="00B34EB7">
              <w:rPr>
                <w:rFonts w:ascii="Times New Roman" w:hAnsi="Times New Roman" w:cs="Times New Roman"/>
                <w:bCs/>
              </w:rPr>
              <w:t xml:space="preserve"> 80% proteína por porção, </w:t>
            </w:r>
            <w:proofErr w:type="spellStart"/>
            <w:proofErr w:type="gramStart"/>
            <w:r w:rsidRPr="00B34EB7">
              <w:rPr>
                <w:rFonts w:ascii="Times New Roman" w:hAnsi="Times New Roman" w:cs="Times New Roman"/>
                <w:bCs/>
              </w:rPr>
              <w:t>concentrado,BCAA</w:t>
            </w:r>
            <w:proofErr w:type="spellEnd"/>
            <w:proofErr w:type="gramEnd"/>
            <w:r w:rsidRPr="00B34EB7">
              <w:rPr>
                <w:rFonts w:ascii="Times New Roman" w:hAnsi="Times New Roman" w:cs="Times New Roman"/>
                <w:bCs/>
              </w:rPr>
              <w:t xml:space="preserve"> e aminoácidos essenciais, 24g de proteína em 30g de produto. Baixo teor de gordura. Sem sabor. Não contém glúten.</w:t>
            </w:r>
          </w:p>
          <w:p w14:paraId="05626061" w14:textId="77777777" w:rsidR="00B34EB7" w:rsidRPr="00B34EB7" w:rsidRDefault="00B34EB7" w:rsidP="00B34EB7">
            <w:pPr>
              <w:pStyle w:val="Default"/>
              <w:ind w:left="0" w:hanging="2"/>
              <w:jc w:val="both"/>
              <w:rPr>
                <w:rFonts w:ascii="Times New Roman" w:hAnsi="Times New Roman" w:cs="Times New Roman"/>
                <w:bCs/>
              </w:rPr>
            </w:pPr>
            <w:r w:rsidRPr="00B34EB7">
              <w:rPr>
                <w:rFonts w:ascii="Times New Roman" w:hAnsi="Times New Roman" w:cs="Times New Roman"/>
                <w:bCs/>
              </w:rPr>
              <w:t>Embalagem de no mínimo 900g. Prazo de validade mínimo: 12 MESES.</w:t>
            </w:r>
          </w:p>
          <w:p w14:paraId="16CE0077" w14:textId="2A182482" w:rsidR="00B34EB7" w:rsidRDefault="00B34EB7" w:rsidP="00B34EB7">
            <w:pPr>
              <w:pStyle w:val="Default"/>
              <w:ind w:left="0" w:hanging="2"/>
              <w:jc w:val="both"/>
              <w:rPr>
                <w:rFonts w:ascii="Times New Roman" w:hAnsi="Times New Roman" w:cs="Times New Roman"/>
                <w:b/>
                <w:bCs/>
              </w:rPr>
            </w:pPr>
            <w:r w:rsidRPr="00B34EB7">
              <w:rPr>
                <w:rFonts w:ascii="Times New Roman" w:hAnsi="Times New Roman" w:cs="Times New Roman"/>
                <w:bCs/>
              </w:rPr>
              <w:lastRenderedPageBreak/>
              <w:t xml:space="preserve">Referência: Igual ou superior </w:t>
            </w:r>
            <w:proofErr w:type="gramStart"/>
            <w:r w:rsidRPr="00B34EB7">
              <w:rPr>
                <w:rFonts w:ascii="Times New Roman" w:hAnsi="Times New Roman" w:cs="Times New Roman"/>
                <w:bCs/>
              </w:rPr>
              <w:t>a  Whey</w:t>
            </w:r>
            <w:proofErr w:type="gramEnd"/>
            <w:r w:rsidRPr="00B34EB7">
              <w:rPr>
                <w:rFonts w:ascii="Times New Roman" w:hAnsi="Times New Roman" w:cs="Times New Roman"/>
                <w:bCs/>
              </w:rPr>
              <w:t xml:space="preserve"> Max Titanium</w:t>
            </w:r>
          </w:p>
        </w:tc>
        <w:tc>
          <w:tcPr>
            <w:tcW w:w="1363" w:type="dxa"/>
          </w:tcPr>
          <w:p w14:paraId="77F48601" w14:textId="0BD94898"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7AC5DE14" w14:textId="3B10BAC1"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r>
      <w:tr w:rsidR="00B34EB7" w14:paraId="1C5D4675" w14:textId="77777777" w:rsidTr="00074593">
        <w:trPr>
          <w:trHeight w:val="1682"/>
        </w:trPr>
        <w:tc>
          <w:tcPr>
            <w:tcW w:w="680" w:type="dxa"/>
          </w:tcPr>
          <w:p w14:paraId="6621F41A" w14:textId="69893274"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816" w:type="dxa"/>
          </w:tcPr>
          <w:p w14:paraId="3F9E7904" w14:textId="67C5AAE8"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3D9553B0" w14:textId="33625E2A"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2.000</w:t>
            </w:r>
          </w:p>
        </w:tc>
        <w:tc>
          <w:tcPr>
            <w:tcW w:w="4071" w:type="dxa"/>
          </w:tcPr>
          <w:p w14:paraId="347B615F" w14:textId="77777777" w:rsidR="00B34EB7" w:rsidRPr="00B34EB7" w:rsidRDefault="00B34EB7" w:rsidP="00B34EB7">
            <w:pPr>
              <w:pStyle w:val="Default"/>
              <w:ind w:left="0" w:hanging="2"/>
              <w:jc w:val="both"/>
              <w:rPr>
                <w:rFonts w:ascii="Times New Roman" w:hAnsi="Times New Roman" w:cs="Times New Roman"/>
                <w:bCs/>
              </w:rPr>
            </w:pPr>
            <w:r w:rsidRPr="00B34EB7">
              <w:rPr>
                <w:rFonts w:ascii="Times New Roman" w:hAnsi="Times New Roman" w:cs="Times New Roman"/>
                <w:bCs/>
              </w:rPr>
              <w:t xml:space="preserve">Espessante alimentar sem sabor ou sabor neutro, instantâneo isento de sacarose, lactose e glúten. indicado aos pacientes com disfagia, podendo ser utilizado em preparações quentes ou </w:t>
            </w:r>
            <w:proofErr w:type="spellStart"/>
            <w:proofErr w:type="gramStart"/>
            <w:r w:rsidRPr="00B34EB7">
              <w:rPr>
                <w:rFonts w:ascii="Times New Roman" w:hAnsi="Times New Roman" w:cs="Times New Roman"/>
                <w:bCs/>
              </w:rPr>
              <w:t>frias,líquidas</w:t>
            </w:r>
            <w:proofErr w:type="spellEnd"/>
            <w:proofErr w:type="gramEnd"/>
            <w:r w:rsidRPr="00B34EB7">
              <w:rPr>
                <w:rFonts w:ascii="Times New Roman" w:hAnsi="Times New Roman" w:cs="Times New Roman"/>
                <w:bCs/>
              </w:rPr>
              <w:t>, doce e salgada misturando-se bem aos alimentos sem interferir no sabor. prazo de validade após aberto de, pelo menos, 60 dias. Prazo de validade mínimo: 12 MESES.</w:t>
            </w:r>
          </w:p>
          <w:p w14:paraId="3A146D3F" w14:textId="77777777" w:rsidR="00B34EB7" w:rsidRDefault="00B34EB7" w:rsidP="00B34EB7">
            <w:pPr>
              <w:pStyle w:val="Default"/>
              <w:ind w:left="0" w:hanging="2"/>
              <w:jc w:val="both"/>
              <w:rPr>
                <w:rFonts w:ascii="Times New Roman" w:hAnsi="Times New Roman" w:cs="Times New Roman"/>
                <w:bCs/>
              </w:rPr>
            </w:pPr>
            <w:r w:rsidRPr="00B34EB7">
              <w:rPr>
                <w:rFonts w:ascii="Times New Roman" w:hAnsi="Times New Roman" w:cs="Times New Roman"/>
                <w:bCs/>
              </w:rPr>
              <w:t xml:space="preserve">Embalagem de 400g. Referência: </w:t>
            </w:r>
            <w:proofErr w:type="spellStart"/>
            <w:r w:rsidRPr="00B34EB7">
              <w:rPr>
                <w:rFonts w:ascii="Times New Roman" w:hAnsi="Times New Roman" w:cs="Times New Roman"/>
                <w:bCs/>
              </w:rPr>
              <w:t>EspessaMix</w:t>
            </w:r>
            <w:proofErr w:type="spellEnd"/>
          </w:p>
          <w:p w14:paraId="24B85A7C" w14:textId="7C5358E4" w:rsidR="005158D6" w:rsidRPr="00B34EB7" w:rsidRDefault="005158D6" w:rsidP="00B34EB7">
            <w:pPr>
              <w:pStyle w:val="Default"/>
              <w:ind w:left="0" w:hanging="2"/>
              <w:jc w:val="both"/>
              <w:rPr>
                <w:rFonts w:ascii="Times New Roman" w:hAnsi="Times New Roman" w:cs="Times New Roman"/>
                <w:b/>
                <w:bCs/>
              </w:rPr>
            </w:pPr>
          </w:p>
        </w:tc>
        <w:tc>
          <w:tcPr>
            <w:tcW w:w="1363" w:type="dxa"/>
          </w:tcPr>
          <w:p w14:paraId="4F740ED4" w14:textId="2E12F3DE"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3269B54E" w14:textId="29C2B7D3"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r>
      <w:tr w:rsidR="00B34EB7" w14:paraId="093DC784" w14:textId="77777777" w:rsidTr="00074593">
        <w:trPr>
          <w:trHeight w:val="1682"/>
        </w:trPr>
        <w:tc>
          <w:tcPr>
            <w:tcW w:w="680" w:type="dxa"/>
          </w:tcPr>
          <w:p w14:paraId="39C494AE" w14:textId="70628647"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11</w:t>
            </w:r>
          </w:p>
        </w:tc>
        <w:tc>
          <w:tcPr>
            <w:tcW w:w="816" w:type="dxa"/>
          </w:tcPr>
          <w:p w14:paraId="4588A643" w14:textId="257D0839"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265F2405" w14:textId="0F256D0A"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1.500</w:t>
            </w:r>
          </w:p>
        </w:tc>
        <w:tc>
          <w:tcPr>
            <w:tcW w:w="4071" w:type="dxa"/>
          </w:tcPr>
          <w:p w14:paraId="436400DF" w14:textId="77777777" w:rsidR="00B34EB7" w:rsidRDefault="00B34EB7" w:rsidP="00D322B4">
            <w:pPr>
              <w:pStyle w:val="Default"/>
              <w:ind w:left="0" w:hanging="2"/>
              <w:jc w:val="both"/>
              <w:rPr>
                <w:rFonts w:ascii="Times New Roman" w:hAnsi="Times New Roman" w:cs="Times New Roman"/>
                <w:b/>
                <w:bCs/>
              </w:rPr>
            </w:pPr>
            <w:r>
              <w:rPr>
                <w:rFonts w:ascii="Times New Roman" w:hAnsi="Times New Roman" w:cs="Times New Roman"/>
              </w:rPr>
              <w:t>Fórmula infantil à base de soja. Indicado para crianças até os 12 meses de vida, com intolerância à lactose e/ou necessidades dietoterápicas específicas com restrição à lactose (</w:t>
            </w:r>
            <w:proofErr w:type="spellStart"/>
            <w:r>
              <w:rPr>
                <w:rFonts w:ascii="Times New Roman" w:hAnsi="Times New Roman" w:cs="Times New Roman"/>
              </w:rPr>
              <w:t>galactosemia</w:t>
            </w:r>
            <w:proofErr w:type="spellEnd"/>
            <w:r>
              <w:rPr>
                <w:rFonts w:ascii="Times New Roman" w:hAnsi="Times New Roman" w:cs="Times New Roman"/>
              </w:rPr>
              <w:t xml:space="preserve">). Contém ômega 3 (ácido linolênico) e ômega 6 (ácido linoleico). Lata 800g. Referência: </w:t>
            </w:r>
            <w:proofErr w:type="spellStart"/>
            <w:r>
              <w:rPr>
                <w:rFonts w:ascii="Times New Roman" w:hAnsi="Times New Roman" w:cs="Times New Roman"/>
                <w:b/>
                <w:bCs/>
              </w:rPr>
              <w:t>Aptamil</w:t>
            </w:r>
            <w:proofErr w:type="spellEnd"/>
            <w:r>
              <w:rPr>
                <w:rFonts w:ascii="Times New Roman" w:hAnsi="Times New Roman" w:cs="Times New Roman"/>
                <w:b/>
                <w:bCs/>
              </w:rPr>
              <w:t xml:space="preserve"> Soja</w:t>
            </w:r>
          </w:p>
          <w:p w14:paraId="2AF598D4" w14:textId="61E993E3" w:rsidR="005158D6" w:rsidRDefault="005158D6" w:rsidP="00D322B4">
            <w:pPr>
              <w:pStyle w:val="Default"/>
              <w:ind w:left="0" w:hanging="2"/>
              <w:jc w:val="both"/>
              <w:rPr>
                <w:rFonts w:ascii="Times New Roman" w:hAnsi="Times New Roman" w:cs="Times New Roman"/>
                <w:b/>
                <w:bCs/>
              </w:rPr>
            </w:pPr>
          </w:p>
        </w:tc>
        <w:tc>
          <w:tcPr>
            <w:tcW w:w="1363" w:type="dxa"/>
          </w:tcPr>
          <w:p w14:paraId="2AF4BBA8" w14:textId="48DBD242"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09CFF02E" w14:textId="282259CD"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r>
      <w:tr w:rsidR="00B34EB7" w14:paraId="2E45EFC0" w14:textId="77777777" w:rsidTr="00074593">
        <w:trPr>
          <w:trHeight w:val="1682"/>
        </w:trPr>
        <w:tc>
          <w:tcPr>
            <w:tcW w:w="680" w:type="dxa"/>
          </w:tcPr>
          <w:p w14:paraId="4A6EACF1" w14:textId="4C7D3B56"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12</w:t>
            </w:r>
          </w:p>
        </w:tc>
        <w:tc>
          <w:tcPr>
            <w:tcW w:w="816" w:type="dxa"/>
          </w:tcPr>
          <w:p w14:paraId="12ED7677" w14:textId="71192A55"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3AE66FB3" w14:textId="690E7DD6"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6.000</w:t>
            </w:r>
          </w:p>
        </w:tc>
        <w:tc>
          <w:tcPr>
            <w:tcW w:w="4071" w:type="dxa"/>
          </w:tcPr>
          <w:p w14:paraId="15D1D9CB" w14:textId="77777777" w:rsidR="00B34EB7" w:rsidRDefault="00B34EB7" w:rsidP="00D322B4">
            <w:pPr>
              <w:pStyle w:val="Default"/>
              <w:ind w:left="0" w:hanging="2"/>
              <w:jc w:val="both"/>
              <w:rPr>
                <w:rFonts w:ascii="Times New Roman" w:hAnsi="Times New Roman" w:cs="Times New Roman"/>
                <w:b/>
                <w:bCs/>
              </w:rPr>
            </w:pPr>
            <w:r>
              <w:rPr>
                <w:rFonts w:ascii="Times New Roman" w:hAnsi="Times New Roman" w:cs="Times New Roman"/>
              </w:rPr>
              <w:t xml:space="preserve">Fórmula infantil de partida desde o nascimento até 6 meses de vida, em pó, a base de proteínas lácteas intactas, adicionada de prebióticos (FOS e GOS). Contém adequada relação ômega 3 (ácido linolênico): ômega 6 (ácido linoleico) mais </w:t>
            </w:r>
            <w:proofErr w:type="spellStart"/>
            <w:r>
              <w:rPr>
                <w:rFonts w:ascii="Times New Roman" w:hAnsi="Times New Roman" w:cs="Times New Roman"/>
              </w:rPr>
              <w:t>LcPUFAs</w:t>
            </w:r>
            <w:proofErr w:type="spellEnd"/>
            <w:r>
              <w:rPr>
                <w:rFonts w:ascii="Times New Roman" w:hAnsi="Times New Roman" w:cs="Times New Roman"/>
              </w:rPr>
              <w:t xml:space="preserve"> (DHA e ARA) e Nucleotídeos. Lata 800g. Referência: </w:t>
            </w:r>
            <w:proofErr w:type="spellStart"/>
            <w:r>
              <w:rPr>
                <w:rFonts w:ascii="Times New Roman" w:hAnsi="Times New Roman" w:cs="Times New Roman"/>
                <w:b/>
                <w:bCs/>
              </w:rPr>
              <w:t>Aptamil</w:t>
            </w:r>
            <w:proofErr w:type="spellEnd"/>
            <w:r>
              <w:rPr>
                <w:rFonts w:ascii="Times New Roman" w:hAnsi="Times New Roman" w:cs="Times New Roman"/>
                <w:b/>
                <w:bCs/>
              </w:rPr>
              <w:t xml:space="preserve"> 1</w:t>
            </w:r>
          </w:p>
          <w:p w14:paraId="3557EFE8" w14:textId="593027B5" w:rsidR="005158D6" w:rsidRDefault="005158D6" w:rsidP="00D322B4">
            <w:pPr>
              <w:pStyle w:val="Default"/>
              <w:ind w:left="0" w:hanging="2"/>
              <w:jc w:val="both"/>
              <w:rPr>
                <w:rFonts w:ascii="Times New Roman" w:hAnsi="Times New Roman" w:cs="Times New Roman"/>
                <w:b/>
                <w:bCs/>
              </w:rPr>
            </w:pPr>
          </w:p>
        </w:tc>
        <w:tc>
          <w:tcPr>
            <w:tcW w:w="1363" w:type="dxa"/>
          </w:tcPr>
          <w:p w14:paraId="099B74DF" w14:textId="7DA8FF68"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2BDF3D78" w14:textId="341DFE13"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r>
      <w:tr w:rsidR="00B34EB7" w14:paraId="556CC5A1" w14:textId="77777777" w:rsidTr="00074593">
        <w:trPr>
          <w:trHeight w:val="1682"/>
        </w:trPr>
        <w:tc>
          <w:tcPr>
            <w:tcW w:w="680" w:type="dxa"/>
          </w:tcPr>
          <w:p w14:paraId="4B480384" w14:textId="4803EC39"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13</w:t>
            </w:r>
          </w:p>
        </w:tc>
        <w:tc>
          <w:tcPr>
            <w:tcW w:w="816" w:type="dxa"/>
          </w:tcPr>
          <w:p w14:paraId="24BBB9D8" w14:textId="67D047AE"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50D5539B" w14:textId="2FB652F2"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6.000</w:t>
            </w:r>
          </w:p>
        </w:tc>
        <w:tc>
          <w:tcPr>
            <w:tcW w:w="4071" w:type="dxa"/>
          </w:tcPr>
          <w:p w14:paraId="58A225BD" w14:textId="77777777" w:rsidR="00B34EB7" w:rsidRDefault="00B34EB7" w:rsidP="00D322B4">
            <w:pPr>
              <w:pStyle w:val="Default"/>
              <w:ind w:left="0" w:hanging="2"/>
              <w:jc w:val="both"/>
              <w:rPr>
                <w:rFonts w:ascii="Times New Roman" w:hAnsi="Times New Roman" w:cs="Times New Roman"/>
                <w:b/>
                <w:bCs/>
              </w:rPr>
            </w:pPr>
            <w:r>
              <w:rPr>
                <w:rFonts w:ascii="Times New Roman" w:hAnsi="Times New Roman" w:cs="Times New Roman"/>
              </w:rPr>
              <w:t xml:space="preserve">Fórmula infantil de seguimento, indicado para crianças de 6 a 12 meses de vida, em pó, a base de proteínas lácteas intactas, adicionada de prebióticos (FOS e GOS). Contém adequada relação ômega 3 (ácido linolênico): ômega 6 (ácido linoleico) mais </w:t>
            </w:r>
            <w:proofErr w:type="spellStart"/>
            <w:r>
              <w:rPr>
                <w:rFonts w:ascii="Times New Roman" w:hAnsi="Times New Roman" w:cs="Times New Roman"/>
              </w:rPr>
              <w:t>LcPUFAs</w:t>
            </w:r>
            <w:proofErr w:type="spellEnd"/>
            <w:r>
              <w:rPr>
                <w:rFonts w:ascii="Times New Roman" w:hAnsi="Times New Roman" w:cs="Times New Roman"/>
              </w:rPr>
              <w:t xml:space="preserve"> (DHA e ARA), além da presença de nucleotídeos, lata 800g. Referência: </w:t>
            </w:r>
            <w:proofErr w:type="spellStart"/>
            <w:r>
              <w:rPr>
                <w:rFonts w:ascii="Times New Roman" w:hAnsi="Times New Roman" w:cs="Times New Roman"/>
                <w:b/>
                <w:bCs/>
              </w:rPr>
              <w:t>Aptamil</w:t>
            </w:r>
            <w:proofErr w:type="spellEnd"/>
            <w:r>
              <w:rPr>
                <w:rFonts w:ascii="Times New Roman" w:hAnsi="Times New Roman" w:cs="Times New Roman"/>
                <w:b/>
                <w:bCs/>
              </w:rPr>
              <w:t xml:space="preserve"> 2</w:t>
            </w:r>
          </w:p>
          <w:p w14:paraId="22F54DBB" w14:textId="10D66F0B" w:rsidR="005158D6" w:rsidRDefault="005158D6" w:rsidP="00D322B4">
            <w:pPr>
              <w:pStyle w:val="Default"/>
              <w:ind w:left="0" w:hanging="2"/>
              <w:jc w:val="both"/>
              <w:rPr>
                <w:rFonts w:ascii="Times New Roman" w:hAnsi="Times New Roman" w:cs="Times New Roman"/>
                <w:b/>
                <w:bCs/>
              </w:rPr>
            </w:pPr>
          </w:p>
        </w:tc>
        <w:tc>
          <w:tcPr>
            <w:tcW w:w="1363" w:type="dxa"/>
          </w:tcPr>
          <w:p w14:paraId="37B3D268" w14:textId="6160F065"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089BA099" w14:textId="575B372F"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r>
      <w:tr w:rsidR="00B34EB7" w14:paraId="4798AD2A" w14:textId="77777777" w:rsidTr="00B34EB7">
        <w:trPr>
          <w:trHeight w:val="839"/>
        </w:trPr>
        <w:tc>
          <w:tcPr>
            <w:tcW w:w="680" w:type="dxa"/>
          </w:tcPr>
          <w:p w14:paraId="3CABD8F2" w14:textId="571A44D2"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lastRenderedPageBreak/>
              <w:t>14</w:t>
            </w:r>
          </w:p>
        </w:tc>
        <w:tc>
          <w:tcPr>
            <w:tcW w:w="816" w:type="dxa"/>
          </w:tcPr>
          <w:p w14:paraId="27AE989A" w14:textId="52261C09"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702119DE" w14:textId="4E8BCEDE"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3.000</w:t>
            </w:r>
          </w:p>
        </w:tc>
        <w:tc>
          <w:tcPr>
            <w:tcW w:w="4071" w:type="dxa"/>
          </w:tcPr>
          <w:p w14:paraId="7C6E127B" w14:textId="77777777" w:rsidR="00B34EB7" w:rsidRDefault="00B34EB7" w:rsidP="00D322B4">
            <w:pPr>
              <w:pStyle w:val="Default"/>
              <w:ind w:left="0" w:hanging="2"/>
              <w:jc w:val="both"/>
              <w:rPr>
                <w:rFonts w:ascii="Times New Roman" w:hAnsi="Times New Roman" w:cs="Times New Roman"/>
                <w:b/>
                <w:bCs/>
              </w:rPr>
            </w:pPr>
            <w:r>
              <w:rPr>
                <w:rFonts w:ascii="Times New Roman" w:hAnsi="Times New Roman" w:cs="Times New Roman"/>
              </w:rPr>
              <w:t xml:space="preserve">Fórmula infantil </w:t>
            </w:r>
            <w:proofErr w:type="spellStart"/>
            <w:r>
              <w:rPr>
                <w:rFonts w:ascii="Times New Roman" w:hAnsi="Times New Roman" w:cs="Times New Roman"/>
              </w:rPr>
              <w:t>antiregurgitação</w:t>
            </w:r>
            <w:proofErr w:type="spellEnd"/>
            <w:r>
              <w:rPr>
                <w:rFonts w:ascii="Times New Roman" w:hAnsi="Times New Roman" w:cs="Times New Roman"/>
              </w:rPr>
              <w:t xml:space="preserve">, em pó, para lactentes desde o nascimento, formulada para condições de refluxo gastroesofágico e/ou regurgitação. Contém goma jataí, agente espessante que proporciona maior viscosidade da fórmula, não alterando a distribuição calórica. Lata 800g. Referência </w:t>
            </w:r>
            <w:proofErr w:type="spellStart"/>
            <w:r>
              <w:rPr>
                <w:rFonts w:ascii="Times New Roman" w:hAnsi="Times New Roman" w:cs="Times New Roman"/>
                <w:b/>
                <w:bCs/>
              </w:rPr>
              <w:t>Aptamil</w:t>
            </w:r>
            <w:proofErr w:type="spellEnd"/>
            <w:r>
              <w:rPr>
                <w:rFonts w:ascii="Times New Roman" w:hAnsi="Times New Roman" w:cs="Times New Roman"/>
                <w:b/>
                <w:bCs/>
              </w:rPr>
              <w:t xml:space="preserve"> AR</w:t>
            </w:r>
          </w:p>
          <w:p w14:paraId="40EA5641" w14:textId="2D396898" w:rsidR="005158D6" w:rsidRDefault="005158D6" w:rsidP="00D322B4">
            <w:pPr>
              <w:pStyle w:val="Default"/>
              <w:ind w:left="0" w:hanging="2"/>
              <w:jc w:val="both"/>
              <w:rPr>
                <w:rFonts w:ascii="Times New Roman" w:hAnsi="Times New Roman" w:cs="Times New Roman"/>
                <w:b/>
                <w:bCs/>
              </w:rPr>
            </w:pPr>
          </w:p>
        </w:tc>
        <w:tc>
          <w:tcPr>
            <w:tcW w:w="1363" w:type="dxa"/>
          </w:tcPr>
          <w:p w14:paraId="78FBD826" w14:textId="364D1D8C" w:rsidR="00B34EB7" w:rsidRDefault="00B34EB7" w:rsidP="00B34EB7">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70A01027" w14:textId="5EF3493A"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r>
      <w:tr w:rsidR="00B34EB7" w14:paraId="1661271C" w14:textId="77777777" w:rsidTr="00074593">
        <w:trPr>
          <w:trHeight w:val="1682"/>
        </w:trPr>
        <w:tc>
          <w:tcPr>
            <w:tcW w:w="680" w:type="dxa"/>
          </w:tcPr>
          <w:p w14:paraId="6A7460A5" w14:textId="301AD25D" w:rsidR="00B34EB7"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15</w:t>
            </w:r>
          </w:p>
        </w:tc>
        <w:tc>
          <w:tcPr>
            <w:tcW w:w="816" w:type="dxa"/>
          </w:tcPr>
          <w:p w14:paraId="0DAC8F0F" w14:textId="26A89FF5" w:rsidR="00B34EB7"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2FF8E241" w14:textId="66A2C539" w:rsidR="00B34EB7"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3.000</w:t>
            </w:r>
          </w:p>
        </w:tc>
        <w:tc>
          <w:tcPr>
            <w:tcW w:w="4071" w:type="dxa"/>
          </w:tcPr>
          <w:p w14:paraId="020BC094" w14:textId="77777777" w:rsidR="00B34EB7" w:rsidRDefault="00617CC3" w:rsidP="00D322B4">
            <w:pPr>
              <w:pStyle w:val="Default"/>
              <w:ind w:left="0" w:hanging="2"/>
              <w:jc w:val="both"/>
              <w:rPr>
                <w:rFonts w:ascii="Times New Roman" w:hAnsi="Times New Roman" w:cs="Times New Roman"/>
                <w:b/>
                <w:bCs/>
              </w:rPr>
            </w:pPr>
            <w:r>
              <w:rPr>
                <w:rFonts w:ascii="Times New Roman" w:hAnsi="Times New Roman" w:cs="Times New Roman"/>
              </w:rPr>
              <w:t xml:space="preserve">Fórmula infantil para lactentes e de seguimento para lactentes e crianças de primeira infância destinada a necessidades dietoterápicas específicas com proteína extensamente hidrolisada e com restrição de lactose. Fórmula infantil em pó, a base de 100% de proteína do soro de leite extensamente hidrolisada. Isento de lactose. Não contém glúten. Lata 400g. Referência: </w:t>
            </w:r>
            <w:proofErr w:type="spellStart"/>
            <w:r>
              <w:rPr>
                <w:rFonts w:ascii="Times New Roman" w:hAnsi="Times New Roman" w:cs="Times New Roman"/>
                <w:b/>
                <w:bCs/>
              </w:rPr>
              <w:t>Pregomin</w:t>
            </w:r>
            <w:proofErr w:type="spellEnd"/>
            <w:r>
              <w:rPr>
                <w:rFonts w:ascii="Times New Roman" w:hAnsi="Times New Roman" w:cs="Times New Roman"/>
                <w:b/>
                <w:bCs/>
              </w:rPr>
              <w:t xml:space="preserve"> </w:t>
            </w:r>
            <w:proofErr w:type="spellStart"/>
            <w:r>
              <w:rPr>
                <w:rFonts w:ascii="Times New Roman" w:hAnsi="Times New Roman" w:cs="Times New Roman"/>
                <w:b/>
                <w:bCs/>
              </w:rPr>
              <w:t>Pepti</w:t>
            </w:r>
            <w:proofErr w:type="spellEnd"/>
          </w:p>
          <w:p w14:paraId="7A0CAD1A" w14:textId="583034E2" w:rsidR="005158D6" w:rsidRDefault="005158D6" w:rsidP="00D322B4">
            <w:pPr>
              <w:pStyle w:val="Default"/>
              <w:ind w:left="0" w:hanging="2"/>
              <w:jc w:val="both"/>
              <w:rPr>
                <w:rFonts w:ascii="Times New Roman" w:hAnsi="Times New Roman" w:cs="Times New Roman"/>
                <w:b/>
                <w:bCs/>
              </w:rPr>
            </w:pPr>
          </w:p>
        </w:tc>
        <w:tc>
          <w:tcPr>
            <w:tcW w:w="1363" w:type="dxa"/>
          </w:tcPr>
          <w:p w14:paraId="5359C850" w14:textId="2EFB57EB"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3666874B" w14:textId="477357C7"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r>
      <w:tr w:rsidR="00617CC3" w14:paraId="0E610991" w14:textId="77777777" w:rsidTr="00074593">
        <w:trPr>
          <w:trHeight w:val="1682"/>
        </w:trPr>
        <w:tc>
          <w:tcPr>
            <w:tcW w:w="680" w:type="dxa"/>
          </w:tcPr>
          <w:p w14:paraId="30836AF5" w14:textId="63E08BC1"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16</w:t>
            </w:r>
          </w:p>
        </w:tc>
        <w:tc>
          <w:tcPr>
            <w:tcW w:w="816" w:type="dxa"/>
          </w:tcPr>
          <w:p w14:paraId="3CAB13F8" w14:textId="5E193E3C"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0A29D834" w14:textId="6CF6E461"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5.000</w:t>
            </w:r>
          </w:p>
        </w:tc>
        <w:tc>
          <w:tcPr>
            <w:tcW w:w="4071" w:type="dxa"/>
          </w:tcPr>
          <w:p w14:paraId="2E915D23" w14:textId="77777777" w:rsidR="00617CC3" w:rsidRDefault="00617CC3" w:rsidP="00D322B4">
            <w:pPr>
              <w:pStyle w:val="Default"/>
              <w:ind w:left="0" w:hanging="2"/>
              <w:jc w:val="both"/>
              <w:rPr>
                <w:rFonts w:ascii="Times New Roman" w:hAnsi="Times New Roman" w:cs="Times New Roman"/>
                <w:b/>
                <w:bCs/>
              </w:rPr>
            </w:pPr>
            <w:r>
              <w:rPr>
                <w:rFonts w:ascii="Times New Roman" w:hAnsi="Times New Roman" w:cs="Times New Roman"/>
              </w:rPr>
              <w:t xml:space="preserve">Fórmula modificada para nutrição enteral, nutricionalmente completa, hipercalórica, com densidade calórica de 1,5 kcal/ml, com adequado teor proteico, com fibras e enriquecido com o exclusivo mix de </w:t>
            </w:r>
            <w:proofErr w:type="spellStart"/>
            <w:r>
              <w:rPr>
                <w:rFonts w:ascii="Times New Roman" w:hAnsi="Times New Roman" w:cs="Times New Roman"/>
              </w:rPr>
              <w:t>carotenóides</w:t>
            </w:r>
            <w:proofErr w:type="spellEnd"/>
            <w:r>
              <w:rPr>
                <w:rFonts w:ascii="Times New Roman" w:hAnsi="Times New Roman" w:cs="Times New Roman"/>
              </w:rPr>
              <w:t xml:space="preserve">. Isenta de sacarose e lactose. Não contém glúten. Embalagem Tetra Pack 1000ml. Referência: </w:t>
            </w:r>
            <w:proofErr w:type="spellStart"/>
            <w:r>
              <w:rPr>
                <w:rFonts w:ascii="Times New Roman" w:hAnsi="Times New Roman" w:cs="Times New Roman"/>
                <w:b/>
                <w:bCs/>
              </w:rPr>
              <w:t>Nutrison</w:t>
            </w:r>
            <w:proofErr w:type="spellEnd"/>
            <w:r>
              <w:rPr>
                <w:rFonts w:ascii="Times New Roman" w:hAnsi="Times New Roman" w:cs="Times New Roman"/>
                <w:b/>
                <w:bCs/>
              </w:rPr>
              <w:t xml:space="preserve"> Energy </w:t>
            </w:r>
            <w:proofErr w:type="spellStart"/>
            <w:r>
              <w:rPr>
                <w:rFonts w:ascii="Times New Roman" w:hAnsi="Times New Roman" w:cs="Times New Roman"/>
                <w:b/>
                <w:bCs/>
              </w:rPr>
              <w:t>Multi</w:t>
            </w:r>
            <w:proofErr w:type="spellEnd"/>
            <w:r>
              <w:rPr>
                <w:rFonts w:ascii="Times New Roman" w:hAnsi="Times New Roman" w:cs="Times New Roman"/>
                <w:b/>
                <w:bCs/>
              </w:rPr>
              <w:t xml:space="preserve"> </w:t>
            </w:r>
            <w:proofErr w:type="spellStart"/>
            <w:r>
              <w:rPr>
                <w:rFonts w:ascii="Times New Roman" w:hAnsi="Times New Roman" w:cs="Times New Roman"/>
                <w:b/>
                <w:bCs/>
              </w:rPr>
              <w:t>Fiber</w:t>
            </w:r>
            <w:proofErr w:type="spellEnd"/>
          </w:p>
          <w:p w14:paraId="025804D5" w14:textId="61B939DC" w:rsidR="005158D6" w:rsidRDefault="005158D6" w:rsidP="00D322B4">
            <w:pPr>
              <w:pStyle w:val="Default"/>
              <w:ind w:left="0" w:hanging="2"/>
              <w:jc w:val="both"/>
              <w:rPr>
                <w:rFonts w:ascii="Times New Roman" w:hAnsi="Times New Roman" w:cs="Times New Roman"/>
                <w:b/>
                <w:bCs/>
              </w:rPr>
            </w:pPr>
          </w:p>
        </w:tc>
        <w:tc>
          <w:tcPr>
            <w:tcW w:w="1363" w:type="dxa"/>
          </w:tcPr>
          <w:p w14:paraId="05BE0CDD" w14:textId="769E2813"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67003794" w14:textId="7B68980D"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617CC3" w14:paraId="350B978D" w14:textId="77777777" w:rsidTr="00074593">
        <w:trPr>
          <w:trHeight w:val="1682"/>
        </w:trPr>
        <w:tc>
          <w:tcPr>
            <w:tcW w:w="680" w:type="dxa"/>
          </w:tcPr>
          <w:p w14:paraId="755B4D4B" w14:textId="0BA981E8"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17</w:t>
            </w:r>
          </w:p>
        </w:tc>
        <w:tc>
          <w:tcPr>
            <w:tcW w:w="816" w:type="dxa"/>
          </w:tcPr>
          <w:p w14:paraId="4AB12D88" w14:textId="37D30C36"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0A2C9AD8" w14:textId="3FE05EDF"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5.000</w:t>
            </w:r>
          </w:p>
        </w:tc>
        <w:tc>
          <w:tcPr>
            <w:tcW w:w="4071" w:type="dxa"/>
          </w:tcPr>
          <w:p w14:paraId="60E8461B" w14:textId="77777777" w:rsidR="00617CC3" w:rsidRDefault="00617CC3" w:rsidP="00D322B4">
            <w:pPr>
              <w:pStyle w:val="Default"/>
              <w:ind w:left="0" w:hanging="2"/>
              <w:jc w:val="both"/>
              <w:rPr>
                <w:rFonts w:ascii="Times New Roman" w:hAnsi="Times New Roman" w:cs="Times New Roman"/>
                <w:b/>
                <w:bCs/>
              </w:rPr>
            </w:pPr>
            <w:r>
              <w:rPr>
                <w:rFonts w:ascii="Times New Roman" w:hAnsi="Times New Roman" w:cs="Times New Roman"/>
              </w:rPr>
              <w:t xml:space="preserve">Fórmula padrão para nutrição enteral ou oral, nutricionalmente completo, com densidade calórica normal (1,2kcal/ml) e </w:t>
            </w:r>
            <w:proofErr w:type="spellStart"/>
            <w:r>
              <w:rPr>
                <w:rFonts w:ascii="Times New Roman" w:hAnsi="Times New Roman" w:cs="Times New Roman"/>
              </w:rPr>
              <w:t>Normoprotéico</w:t>
            </w:r>
            <w:proofErr w:type="spellEnd"/>
            <w:r>
              <w:rPr>
                <w:rFonts w:ascii="Times New Roman" w:hAnsi="Times New Roman" w:cs="Times New Roman"/>
              </w:rPr>
              <w:t xml:space="preserve">. Sem fibras. Isento de sacarose, lactose e glúten. Embalagem Tetra Pack 1000ml. Referência: </w:t>
            </w:r>
            <w:r>
              <w:rPr>
                <w:rFonts w:ascii="Times New Roman" w:hAnsi="Times New Roman" w:cs="Times New Roman"/>
                <w:b/>
                <w:bCs/>
              </w:rPr>
              <w:t>Nutri Enteral Soya</w:t>
            </w:r>
          </w:p>
          <w:p w14:paraId="6C3CFB2D" w14:textId="1939E53D" w:rsidR="005158D6" w:rsidRDefault="005158D6" w:rsidP="00D322B4">
            <w:pPr>
              <w:pStyle w:val="Default"/>
              <w:ind w:left="0" w:hanging="2"/>
              <w:jc w:val="both"/>
              <w:rPr>
                <w:rFonts w:ascii="Times New Roman" w:hAnsi="Times New Roman" w:cs="Times New Roman"/>
                <w:b/>
                <w:bCs/>
              </w:rPr>
            </w:pPr>
          </w:p>
        </w:tc>
        <w:tc>
          <w:tcPr>
            <w:tcW w:w="1363" w:type="dxa"/>
          </w:tcPr>
          <w:p w14:paraId="7A7CDBB7" w14:textId="0717620F"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2305EAC0" w14:textId="2C745CC3"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617CC3" w14:paraId="0413DB8B" w14:textId="77777777" w:rsidTr="005158D6">
        <w:trPr>
          <w:trHeight w:val="839"/>
        </w:trPr>
        <w:tc>
          <w:tcPr>
            <w:tcW w:w="680" w:type="dxa"/>
          </w:tcPr>
          <w:p w14:paraId="6953EDFC" w14:textId="782F88B0"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18</w:t>
            </w:r>
          </w:p>
        </w:tc>
        <w:tc>
          <w:tcPr>
            <w:tcW w:w="816" w:type="dxa"/>
          </w:tcPr>
          <w:p w14:paraId="53DDD3AF" w14:textId="4970D8E8"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000EB313" w14:textId="3FF834FA"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1.000</w:t>
            </w:r>
          </w:p>
        </w:tc>
        <w:tc>
          <w:tcPr>
            <w:tcW w:w="4071" w:type="dxa"/>
          </w:tcPr>
          <w:p w14:paraId="4EF892DA" w14:textId="69515EF3" w:rsidR="00617CC3" w:rsidRDefault="00617CC3" w:rsidP="00D322B4">
            <w:pPr>
              <w:pStyle w:val="Default"/>
              <w:ind w:left="0" w:hanging="2"/>
              <w:jc w:val="both"/>
              <w:rPr>
                <w:rFonts w:ascii="Times New Roman" w:hAnsi="Times New Roman" w:cs="Times New Roman"/>
                <w:b/>
                <w:bCs/>
              </w:rPr>
            </w:pPr>
            <w:r>
              <w:rPr>
                <w:rFonts w:ascii="Times New Roman" w:hAnsi="Times New Roman" w:cs="Times New Roman"/>
              </w:rPr>
              <w:t xml:space="preserve">Fórmula infantil, indicado para crianças de 1 a 3 anos de vida, em pó, a base de proteínas lácteas </w:t>
            </w:r>
            <w:proofErr w:type="spellStart"/>
            <w:r>
              <w:rPr>
                <w:rFonts w:ascii="Times New Roman" w:hAnsi="Times New Roman" w:cs="Times New Roman"/>
              </w:rPr>
              <w:t>in-tactas</w:t>
            </w:r>
            <w:proofErr w:type="spellEnd"/>
            <w:r>
              <w:rPr>
                <w:rFonts w:ascii="Times New Roman" w:hAnsi="Times New Roman" w:cs="Times New Roman"/>
              </w:rPr>
              <w:t xml:space="preserve">, adicionada de Prebióticos (GOS/FOS). Contém adequada relação ômega 6: ômega 3 e </w:t>
            </w:r>
            <w:proofErr w:type="spellStart"/>
            <w:r>
              <w:rPr>
                <w:rFonts w:ascii="Times New Roman" w:hAnsi="Times New Roman" w:cs="Times New Roman"/>
              </w:rPr>
              <w:t>pre-sença</w:t>
            </w:r>
            <w:proofErr w:type="spellEnd"/>
            <w:r>
              <w:rPr>
                <w:rFonts w:ascii="Times New Roman" w:hAnsi="Times New Roman" w:cs="Times New Roman"/>
              </w:rPr>
              <w:t xml:space="preserve"> de </w:t>
            </w:r>
            <w:proofErr w:type="spellStart"/>
            <w:r>
              <w:rPr>
                <w:rFonts w:ascii="Times New Roman" w:hAnsi="Times New Roman" w:cs="Times New Roman"/>
              </w:rPr>
              <w:t>LcPUFAs</w:t>
            </w:r>
            <w:proofErr w:type="spellEnd"/>
            <w:r>
              <w:rPr>
                <w:rFonts w:ascii="Times New Roman" w:hAnsi="Times New Roman" w:cs="Times New Roman"/>
              </w:rPr>
              <w:t xml:space="preserve"> (DHA e ARA). </w:t>
            </w:r>
            <w:r>
              <w:rPr>
                <w:rFonts w:ascii="Times New Roman" w:hAnsi="Times New Roman" w:cs="Times New Roman"/>
              </w:rPr>
              <w:lastRenderedPageBreak/>
              <w:t xml:space="preserve">Lata 800g. Referência: Igual ou superior a </w:t>
            </w:r>
            <w:proofErr w:type="spellStart"/>
            <w:r>
              <w:rPr>
                <w:rFonts w:ascii="Times New Roman" w:hAnsi="Times New Roman" w:cs="Times New Roman"/>
                <w:b/>
                <w:bCs/>
              </w:rPr>
              <w:t>Aptanutri</w:t>
            </w:r>
            <w:proofErr w:type="spellEnd"/>
          </w:p>
        </w:tc>
        <w:tc>
          <w:tcPr>
            <w:tcW w:w="1363" w:type="dxa"/>
          </w:tcPr>
          <w:p w14:paraId="3126A2D1" w14:textId="1C8D7743"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32410970" w14:textId="27199C49"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617CC3" w14:paraId="1B4F8C8C" w14:textId="77777777" w:rsidTr="006828CF">
        <w:trPr>
          <w:trHeight w:val="983"/>
        </w:trPr>
        <w:tc>
          <w:tcPr>
            <w:tcW w:w="680" w:type="dxa"/>
          </w:tcPr>
          <w:p w14:paraId="0E30847F" w14:textId="1E053485"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19</w:t>
            </w:r>
          </w:p>
        </w:tc>
        <w:tc>
          <w:tcPr>
            <w:tcW w:w="816" w:type="dxa"/>
          </w:tcPr>
          <w:p w14:paraId="7657BD65" w14:textId="69B820F0"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1F09D3EA" w14:textId="7CE1122F"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1.000</w:t>
            </w:r>
          </w:p>
        </w:tc>
        <w:tc>
          <w:tcPr>
            <w:tcW w:w="4071" w:type="dxa"/>
          </w:tcPr>
          <w:p w14:paraId="3D7E76C1" w14:textId="77777777" w:rsidR="00617CC3" w:rsidRDefault="00617CC3" w:rsidP="00D322B4">
            <w:pPr>
              <w:pStyle w:val="Default"/>
              <w:ind w:left="0" w:hanging="2"/>
              <w:jc w:val="both"/>
              <w:rPr>
                <w:rFonts w:ascii="Times New Roman" w:hAnsi="Times New Roman" w:cs="Times New Roman"/>
                <w:b/>
                <w:bCs/>
              </w:rPr>
            </w:pPr>
            <w:r>
              <w:rPr>
                <w:rFonts w:ascii="Times New Roman" w:hAnsi="Times New Roman" w:cs="Times New Roman"/>
              </w:rPr>
              <w:t xml:space="preserve">Composto lácteo com óleos </w:t>
            </w:r>
            <w:proofErr w:type="spellStart"/>
            <w:r>
              <w:rPr>
                <w:rFonts w:ascii="Times New Roman" w:hAnsi="Times New Roman" w:cs="Times New Roman"/>
              </w:rPr>
              <w:t>vege-tais</w:t>
            </w:r>
            <w:proofErr w:type="spellEnd"/>
            <w:r>
              <w:rPr>
                <w:rFonts w:ascii="Times New Roman" w:hAnsi="Times New Roman" w:cs="Times New Roman"/>
              </w:rPr>
              <w:t xml:space="preserve"> e fibras, indicado para </w:t>
            </w:r>
            <w:proofErr w:type="spellStart"/>
            <w:r>
              <w:rPr>
                <w:rFonts w:ascii="Times New Roman" w:hAnsi="Times New Roman" w:cs="Times New Roman"/>
              </w:rPr>
              <w:t>crian-ças</w:t>
            </w:r>
            <w:proofErr w:type="spellEnd"/>
            <w:r>
              <w:rPr>
                <w:rFonts w:ascii="Times New Roman" w:hAnsi="Times New Roman" w:cs="Times New Roman"/>
              </w:rPr>
              <w:t xml:space="preserve"> de 3 a 5 anos de idade, </w:t>
            </w:r>
            <w:proofErr w:type="spellStart"/>
            <w:r>
              <w:rPr>
                <w:rFonts w:ascii="Times New Roman" w:hAnsi="Times New Roman" w:cs="Times New Roman"/>
              </w:rPr>
              <w:t>adici-onado</w:t>
            </w:r>
            <w:proofErr w:type="spellEnd"/>
            <w:r>
              <w:rPr>
                <w:rFonts w:ascii="Times New Roman" w:hAnsi="Times New Roman" w:cs="Times New Roman"/>
              </w:rPr>
              <w:t xml:space="preserve"> de prebióticos (FOS e GOS). Contém </w:t>
            </w:r>
            <w:proofErr w:type="spellStart"/>
            <w:r>
              <w:rPr>
                <w:rFonts w:ascii="Times New Roman" w:hAnsi="Times New Roman" w:cs="Times New Roman"/>
              </w:rPr>
              <w:t>LcPUFAs</w:t>
            </w:r>
            <w:proofErr w:type="spellEnd"/>
            <w:r>
              <w:rPr>
                <w:rFonts w:ascii="Times New Roman" w:hAnsi="Times New Roman" w:cs="Times New Roman"/>
              </w:rPr>
              <w:t xml:space="preserve"> ácidos graxos de cadeia longa - ácido </w:t>
            </w:r>
            <w:proofErr w:type="spellStart"/>
            <w:r>
              <w:rPr>
                <w:rFonts w:ascii="Times New Roman" w:hAnsi="Times New Roman" w:cs="Times New Roman"/>
              </w:rPr>
              <w:t>do-cosahexaenoico</w:t>
            </w:r>
            <w:proofErr w:type="spellEnd"/>
            <w:r>
              <w:rPr>
                <w:rFonts w:ascii="Times New Roman" w:hAnsi="Times New Roman" w:cs="Times New Roman"/>
              </w:rPr>
              <w:t xml:space="preserve"> (DHA). Fonte de cálcio, ferro e zinco. Rico em </w:t>
            </w:r>
            <w:proofErr w:type="spellStart"/>
            <w:r>
              <w:rPr>
                <w:rFonts w:ascii="Times New Roman" w:hAnsi="Times New Roman" w:cs="Times New Roman"/>
              </w:rPr>
              <w:t>vi-taminas</w:t>
            </w:r>
            <w:proofErr w:type="spellEnd"/>
            <w:r>
              <w:rPr>
                <w:rFonts w:ascii="Times New Roman" w:hAnsi="Times New Roman" w:cs="Times New Roman"/>
              </w:rPr>
              <w:t xml:space="preserve"> C e D. Fonte de </w:t>
            </w:r>
            <w:proofErr w:type="spellStart"/>
            <w:r>
              <w:rPr>
                <w:rFonts w:ascii="Times New Roman" w:hAnsi="Times New Roman" w:cs="Times New Roman"/>
              </w:rPr>
              <w:t>vitami-nas</w:t>
            </w:r>
            <w:proofErr w:type="spellEnd"/>
            <w:r>
              <w:rPr>
                <w:rFonts w:ascii="Times New Roman" w:hAnsi="Times New Roman" w:cs="Times New Roman"/>
              </w:rPr>
              <w:t xml:space="preserve"> A, B2, B12, B5, E </w:t>
            </w:r>
            <w:proofErr w:type="spellStart"/>
            <w:r>
              <w:rPr>
                <w:rFonts w:ascii="Times New Roman" w:hAnsi="Times New Roman" w:cs="Times New Roman"/>
              </w:rPr>
              <w:t>e</w:t>
            </w:r>
            <w:proofErr w:type="spellEnd"/>
            <w:r>
              <w:rPr>
                <w:rFonts w:ascii="Times New Roman" w:hAnsi="Times New Roman" w:cs="Times New Roman"/>
              </w:rPr>
              <w:t xml:space="preserve"> K. </w:t>
            </w:r>
            <w:proofErr w:type="spellStart"/>
            <w:r>
              <w:rPr>
                <w:rFonts w:ascii="Times New Roman" w:hAnsi="Times New Roman" w:cs="Times New Roman"/>
              </w:rPr>
              <w:t>Con-tém</w:t>
            </w:r>
            <w:proofErr w:type="spellEnd"/>
            <w:r>
              <w:rPr>
                <w:rFonts w:ascii="Times New Roman" w:hAnsi="Times New Roman" w:cs="Times New Roman"/>
              </w:rPr>
              <w:t xml:space="preserve"> soro de leite. Lata 800g. Re </w:t>
            </w:r>
            <w:proofErr w:type="spellStart"/>
            <w:r>
              <w:rPr>
                <w:rFonts w:ascii="Times New Roman" w:hAnsi="Times New Roman" w:cs="Times New Roman"/>
              </w:rPr>
              <w:t>ferência</w:t>
            </w:r>
            <w:proofErr w:type="spellEnd"/>
            <w:r>
              <w:rPr>
                <w:rFonts w:ascii="Times New Roman" w:hAnsi="Times New Roman" w:cs="Times New Roman"/>
              </w:rPr>
              <w:t xml:space="preserve"> Igual ou superior a </w:t>
            </w:r>
            <w:proofErr w:type="spellStart"/>
            <w:r>
              <w:rPr>
                <w:rFonts w:ascii="Times New Roman" w:hAnsi="Times New Roman" w:cs="Times New Roman"/>
                <w:b/>
                <w:bCs/>
              </w:rPr>
              <w:t>Milnutri</w:t>
            </w:r>
            <w:proofErr w:type="spellEnd"/>
          </w:p>
          <w:p w14:paraId="5713742D" w14:textId="4703DCB2" w:rsidR="005158D6" w:rsidRDefault="005158D6" w:rsidP="00D322B4">
            <w:pPr>
              <w:pStyle w:val="Default"/>
              <w:ind w:left="0" w:hanging="2"/>
              <w:jc w:val="both"/>
              <w:rPr>
                <w:rFonts w:ascii="Times New Roman" w:hAnsi="Times New Roman" w:cs="Times New Roman"/>
                <w:b/>
                <w:bCs/>
              </w:rPr>
            </w:pPr>
          </w:p>
        </w:tc>
        <w:tc>
          <w:tcPr>
            <w:tcW w:w="1363" w:type="dxa"/>
          </w:tcPr>
          <w:p w14:paraId="205CB6B8" w14:textId="77395DCB"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1FDA788D" w14:textId="7A24F78A"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617CC3" w14:paraId="59D0D7B3" w14:textId="77777777" w:rsidTr="00074593">
        <w:trPr>
          <w:trHeight w:val="1682"/>
        </w:trPr>
        <w:tc>
          <w:tcPr>
            <w:tcW w:w="680" w:type="dxa"/>
          </w:tcPr>
          <w:p w14:paraId="3B856969" w14:textId="4E279E35"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816" w:type="dxa"/>
          </w:tcPr>
          <w:p w14:paraId="082D8420" w14:textId="633448C0" w:rsidR="00617CC3" w:rsidRPr="00617CC3" w:rsidRDefault="00617CC3" w:rsidP="00617CC3">
            <w:pPr>
              <w:ind w:leftChars="0" w:left="0" w:firstLineChars="0" w:firstLine="0"/>
              <w:rPr>
                <w:rFonts w:asciiTheme="majorHAnsi" w:eastAsia="Calibri" w:hAnsiTheme="majorHAnsi" w:cstheme="majorHAnsi"/>
                <w:sz w:val="24"/>
                <w:szCs w:val="24"/>
              </w:rPr>
            </w:pPr>
            <w:r>
              <w:rPr>
                <w:rFonts w:asciiTheme="majorHAnsi" w:eastAsia="Calibri" w:hAnsiTheme="majorHAnsi" w:cstheme="majorHAnsi"/>
                <w:b/>
                <w:bCs/>
                <w:sz w:val="24"/>
                <w:szCs w:val="24"/>
              </w:rPr>
              <w:t>UND</w:t>
            </w:r>
          </w:p>
        </w:tc>
        <w:tc>
          <w:tcPr>
            <w:tcW w:w="889" w:type="dxa"/>
          </w:tcPr>
          <w:p w14:paraId="43700D4C" w14:textId="4B6364E3"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100</w:t>
            </w:r>
          </w:p>
        </w:tc>
        <w:tc>
          <w:tcPr>
            <w:tcW w:w="4071" w:type="dxa"/>
          </w:tcPr>
          <w:p w14:paraId="5B04C4D2" w14:textId="77777777" w:rsidR="00617CC3" w:rsidRDefault="00617CC3" w:rsidP="00D322B4">
            <w:pPr>
              <w:pStyle w:val="Default"/>
              <w:ind w:left="0" w:hanging="2"/>
              <w:jc w:val="both"/>
              <w:rPr>
                <w:rFonts w:ascii="Times New Roman" w:hAnsi="Times New Roman" w:cs="Times New Roman"/>
                <w:bCs/>
              </w:rPr>
            </w:pPr>
            <w:r w:rsidRPr="00617CC3">
              <w:rPr>
                <w:rFonts w:ascii="Times New Roman" w:hAnsi="Times New Roman" w:cs="Times New Roman"/>
                <w:b/>
                <w:bCs/>
              </w:rPr>
              <w:t xml:space="preserve">SUPLEMENTO ALIMENTAR P/ DOENÇAS INFLAMATORIAS: </w:t>
            </w:r>
            <w:r w:rsidRPr="00617CC3">
              <w:rPr>
                <w:rFonts w:ascii="Times New Roman" w:hAnsi="Times New Roman" w:cs="Times New Roman"/>
                <w:bCs/>
              </w:rPr>
              <w:t xml:space="preserve">Suplemento alimentar desenhado para o tratamento de pessoas com doenças inflamatórias intestinais. Pode ser usada para nutrição enteral e/ou oral, </w:t>
            </w:r>
            <w:proofErr w:type="spellStart"/>
            <w:r w:rsidRPr="00617CC3">
              <w:rPr>
                <w:rFonts w:ascii="Times New Roman" w:hAnsi="Times New Roman" w:cs="Times New Roman"/>
                <w:bCs/>
              </w:rPr>
              <w:t>normo-calorica</w:t>
            </w:r>
            <w:proofErr w:type="spellEnd"/>
            <w:r w:rsidRPr="00617CC3">
              <w:rPr>
                <w:rFonts w:ascii="Times New Roman" w:hAnsi="Times New Roman" w:cs="Times New Roman"/>
                <w:bCs/>
              </w:rPr>
              <w:t xml:space="preserve">, </w:t>
            </w:r>
            <w:proofErr w:type="spellStart"/>
            <w:r w:rsidRPr="00617CC3">
              <w:rPr>
                <w:rFonts w:ascii="Times New Roman" w:hAnsi="Times New Roman" w:cs="Times New Roman"/>
                <w:bCs/>
              </w:rPr>
              <w:t>normo</w:t>
            </w:r>
            <w:proofErr w:type="spellEnd"/>
            <w:r w:rsidRPr="00617CC3">
              <w:rPr>
                <w:rFonts w:ascii="Times New Roman" w:hAnsi="Times New Roman" w:cs="Times New Roman"/>
                <w:bCs/>
              </w:rPr>
              <w:t xml:space="preserve">-proteica e </w:t>
            </w:r>
            <w:proofErr w:type="spellStart"/>
            <w:r w:rsidRPr="00617CC3">
              <w:rPr>
                <w:rFonts w:ascii="Times New Roman" w:hAnsi="Times New Roman" w:cs="Times New Roman"/>
                <w:bCs/>
              </w:rPr>
              <w:t>hiperlipidica</w:t>
            </w:r>
            <w:proofErr w:type="spellEnd"/>
            <w:r w:rsidRPr="00617CC3">
              <w:rPr>
                <w:rFonts w:ascii="Times New Roman" w:hAnsi="Times New Roman" w:cs="Times New Roman"/>
                <w:bCs/>
              </w:rPr>
              <w:t xml:space="preserve">, com alto teor de cloreto, zinco, molibdênio e vitamina A, D, E, C e B6, enriquecida com TGF-2, que contribui para a ação anti-inflamatória e reparadora da mucosa intestinal. Lata de 400g. Prazo de validade mínimo: 12 meses. Referência: </w:t>
            </w:r>
            <w:proofErr w:type="spellStart"/>
            <w:r w:rsidRPr="00617CC3">
              <w:rPr>
                <w:rFonts w:ascii="Times New Roman" w:hAnsi="Times New Roman" w:cs="Times New Roman"/>
                <w:bCs/>
              </w:rPr>
              <w:t>Modulen</w:t>
            </w:r>
            <w:proofErr w:type="spellEnd"/>
          </w:p>
          <w:p w14:paraId="3CBAF7DF" w14:textId="3EC3A033" w:rsidR="005158D6" w:rsidRDefault="005158D6" w:rsidP="00D322B4">
            <w:pPr>
              <w:pStyle w:val="Default"/>
              <w:ind w:left="0" w:hanging="2"/>
              <w:jc w:val="both"/>
              <w:rPr>
                <w:rFonts w:ascii="Times New Roman" w:hAnsi="Times New Roman" w:cs="Times New Roman"/>
                <w:b/>
                <w:bCs/>
              </w:rPr>
            </w:pPr>
          </w:p>
        </w:tc>
        <w:tc>
          <w:tcPr>
            <w:tcW w:w="1363" w:type="dxa"/>
          </w:tcPr>
          <w:p w14:paraId="6BC408FD" w14:textId="437DEC2E"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5A99D017" w14:textId="6ED02DE7"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p>
        </w:tc>
      </w:tr>
    </w:tbl>
    <w:p w14:paraId="0EE284EC" w14:textId="77777777" w:rsidR="006C56D3" w:rsidRDefault="006C56D3" w:rsidP="009B4131">
      <w:pPr>
        <w:spacing w:line="240" w:lineRule="auto"/>
        <w:ind w:left="0" w:hanging="2"/>
        <w:jc w:val="center"/>
        <w:rPr>
          <w:rFonts w:asciiTheme="majorHAnsi" w:hAnsiTheme="majorHAnsi" w:cstheme="majorHAnsi"/>
          <w:sz w:val="24"/>
          <w:szCs w:val="24"/>
        </w:rPr>
      </w:pPr>
    </w:p>
    <w:p w14:paraId="422694FC" w14:textId="77777777" w:rsidR="00652DE9" w:rsidRDefault="00652DE9" w:rsidP="009B4131">
      <w:pPr>
        <w:spacing w:line="240" w:lineRule="auto"/>
        <w:ind w:left="0" w:hanging="2"/>
        <w:jc w:val="center"/>
        <w:rPr>
          <w:rFonts w:asciiTheme="majorHAnsi" w:hAnsiTheme="majorHAnsi" w:cstheme="majorHAnsi"/>
          <w:sz w:val="24"/>
          <w:szCs w:val="24"/>
        </w:rPr>
      </w:pPr>
    </w:p>
    <w:p w14:paraId="7E6E5738" w14:textId="77777777" w:rsidR="00652DE9" w:rsidRPr="00086193" w:rsidRDefault="00652DE9" w:rsidP="009B4131">
      <w:pPr>
        <w:spacing w:line="240" w:lineRule="auto"/>
        <w:ind w:left="0" w:hanging="2"/>
        <w:jc w:val="center"/>
        <w:rPr>
          <w:rFonts w:asciiTheme="majorHAnsi" w:hAnsiTheme="majorHAnsi" w:cstheme="majorHAnsi"/>
          <w:sz w:val="24"/>
          <w:szCs w:val="24"/>
        </w:rPr>
      </w:pPr>
    </w:p>
    <w:p w14:paraId="24C7591B" w14:textId="78BAB384" w:rsidR="00420947" w:rsidRPr="00086193" w:rsidRDefault="00420947" w:rsidP="00420947">
      <w:pPr>
        <w:pStyle w:val="Textbody"/>
        <w:jc w:val="both"/>
        <w:rPr>
          <w:rFonts w:asciiTheme="majorHAnsi" w:hAnsiTheme="majorHAnsi" w:cstheme="majorHAnsi"/>
        </w:rPr>
      </w:pPr>
      <w:r w:rsidRPr="00086193">
        <w:rPr>
          <w:rFonts w:asciiTheme="majorHAnsi" w:eastAsia="Calibri" w:hAnsiTheme="majorHAnsi" w:cstheme="majorHAnsi"/>
          <w:b/>
          <w:bCs/>
          <w:shd w:val="clear" w:color="auto" w:fill="CCCCCC"/>
        </w:rPr>
        <w:t xml:space="preserve">OBS: </w:t>
      </w:r>
      <w:r w:rsidRPr="00086193">
        <w:rPr>
          <w:rFonts w:asciiTheme="majorHAnsi" w:hAnsiTheme="majorHAnsi" w:cstheme="majorHAnsi"/>
          <w:b/>
          <w:bCs/>
          <w:shd w:val="clear" w:color="auto" w:fill="CCCCCC"/>
        </w:rPr>
        <w:t xml:space="preserve">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w:t>
      </w:r>
      <w:proofErr w:type="spellStart"/>
      <w:r w:rsidRPr="00086193">
        <w:rPr>
          <w:rFonts w:asciiTheme="majorHAnsi" w:hAnsiTheme="majorHAnsi" w:cstheme="majorHAnsi"/>
          <w:b/>
          <w:bCs/>
          <w:shd w:val="clear" w:color="auto" w:fill="CCCCCC"/>
        </w:rPr>
        <w:t>Comprasnet</w:t>
      </w:r>
      <w:proofErr w:type="spellEnd"/>
      <w:r w:rsidRPr="00086193">
        <w:rPr>
          <w:rFonts w:asciiTheme="majorHAnsi" w:hAnsiTheme="majorHAnsi" w:cstheme="majorHAnsi"/>
          <w:b/>
          <w:bCs/>
          <w:shd w:val="clear" w:color="auto" w:fill="CCCCCC"/>
        </w:rPr>
        <w:t xml:space="preserve">, por vezes não tem a exatidão do objeto pleiteado no certame, portanto o município busca </w:t>
      </w:r>
      <w:r w:rsidRPr="00086193">
        <w:rPr>
          <w:rFonts w:asciiTheme="majorHAnsi" w:hAnsiTheme="majorHAnsi" w:cstheme="majorHAnsi"/>
          <w:b/>
          <w:bCs/>
          <w:shd w:val="clear" w:color="auto" w:fill="CCCCCC"/>
        </w:rPr>
        <w:lastRenderedPageBreak/>
        <w:t>transparecer de forma lícita e eficiente as especificações expressas no instrumento convocatório.</w:t>
      </w:r>
    </w:p>
    <w:p w14:paraId="0EB23A20" w14:textId="77777777"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Declaramos para os devidos fins e sob as penas da lei que:</w:t>
      </w:r>
    </w:p>
    <w:p w14:paraId="70FE41F9"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1- Estão incluídas, nos preços cotados, todas as despesas, de qualquer natureza, incidentes sobre o cumprimento do objeto deste Pregão.</w:t>
      </w:r>
    </w:p>
    <w:p w14:paraId="6535DF6C"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2- Será cumprido o fornecimento de acordo com a especificação da proposta e com o edital, a partir da assinatura do contrato.</w:t>
      </w:r>
    </w:p>
    <w:p w14:paraId="5EC916B6" w14:textId="2EC1448D"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3- Esta proposta tem validade de 60 dias</w:t>
      </w:r>
      <w:r w:rsidR="004875EF" w:rsidRPr="00086193">
        <w:rPr>
          <w:rFonts w:asciiTheme="majorHAnsi" w:eastAsia="Calibri" w:hAnsiTheme="majorHAnsi" w:cstheme="majorHAnsi"/>
          <w:b/>
          <w:sz w:val="24"/>
          <w:szCs w:val="24"/>
        </w:rPr>
        <w:t>.</w:t>
      </w:r>
    </w:p>
    <w:p w14:paraId="63793435" w14:textId="77777777" w:rsidR="003078A1" w:rsidRPr="00086193" w:rsidRDefault="003078A1">
      <w:pPr>
        <w:spacing w:line="276" w:lineRule="auto"/>
        <w:ind w:left="0" w:hanging="2"/>
        <w:jc w:val="both"/>
        <w:rPr>
          <w:rFonts w:asciiTheme="majorHAnsi" w:eastAsia="Calibri" w:hAnsiTheme="majorHAnsi" w:cstheme="majorHAnsi"/>
          <w:sz w:val="24"/>
          <w:szCs w:val="24"/>
        </w:rPr>
      </w:pPr>
    </w:p>
    <w:p w14:paraId="3BD4CB44" w14:textId="395B5247" w:rsidR="00520F3C" w:rsidRPr="00086193" w:rsidRDefault="003843AF" w:rsidP="003843AF">
      <w:pPr>
        <w:tabs>
          <w:tab w:val="left" w:pos="567"/>
          <w:tab w:val="left" w:pos="1134"/>
          <w:tab w:val="left" w:pos="1418"/>
          <w:tab w:val="left" w:pos="2410"/>
          <w:tab w:val="left" w:pos="2552"/>
          <w:tab w:val="center" w:pos="4535"/>
          <w:tab w:val="left" w:pos="8235"/>
        </w:tabs>
        <w:spacing w:line="276"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p>
    <w:p w14:paraId="6D86CCC3" w14:textId="1C1A1BDE" w:rsidR="00520F3C" w:rsidRPr="00086193" w:rsidRDefault="000734B4">
      <w:pPr>
        <w:spacing w:line="276" w:lineRule="auto"/>
        <w:ind w:left="0" w:hanging="2"/>
        <w:jc w:val="center"/>
        <w:rPr>
          <w:rFonts w:asciiTheme="majorHAnsi" w:eastAsia="Calibri" w:hAnsiTheme="majorHAnsi" w:cstheme="majorHAnsi"/>
          <w:sz w:val="24"/>
          <w:szCs w:val="24"/>
        </w:rPr>
      </w:pPr>
      <w:proofErr w:type="gramStart"/>
      <w:r>
        <w:rPr>
          <w:rFonts w:asciiTheme="majorHAnsi" w:eastAsia="Calibri" w:hAnsiTheme="majorHAnsi" w:cstheme="majorHAnsi"/>
          <w:b/>
          <w:sz w:val="24"/>
          <w:szCs w:val="24"/>
        </w:rPr>
        <w:t>VIÇOSA ,</w:t>
      </w:r>
      <w:proofErr w:type="gramEnd"/>
      <w:r>
        <w:rPr>
          <w:rFonts w:asciiTheme="majorHAnsi" w:eastAsia="Calibri" w:hAnsiTheme="majorHAnsi" w:cstheme="majorHAnsi"/>
          <w:b/>
          <w:sz w:val="24"/>
          <w:szCs w:val="24"/>
        </w:rPr>
        <w:t xml:space="preserve">   </w:t>
      </w:r>
      <w:proofErr w:type="spellStart"/>
      <w:r w:rsidR="005158D6">
        <w:rPr>
          <w:rFonts w:asciiTheme="majorHAnsi" w:eastAsia="Calibri" w:hAnsiTheme="majorHAnsi" w:cstheme="majorHAnsi"/>
          <w:b/>
          <w:sz w:val="24"/>
          <w:szCs w:val="24"/>
        </w:rPr>
        <w:t>xxxxx</w:t>
      </w:r>
      <w:proofErr w:type="spellEnd"/>
      <w:r w:rsidR="005158D6">
        <w:rPr>
          <w:rFonts w:asciiTheme="majorHAnsi" w:eastAsia="Calibri" w:hAnsiTheme="majorHAnsi" w:cstheme="majorHAnsi"/>
          <w:b/>
          <w:sz w:val="24"/>
          <w:szCs w:val="24"/>
        </w:rPr>
        <w:t xml:space="preserve"> </w:t>
      </w:r>
      <w:proofErr w:type="gramStart"/>
      <w:r w:rsidR="005158D6">
        <w:rPr>
          <w:rFonts w:asciiTheme="majorHAnsi" w:eastAsia="Calibri" w:hAnsiTheme="majorHAnsi" w:cstheme="majorHAnsi"/>
          <w:b/>
          <w:sz w:val="24"/>
          <w:szCs w:val="24"/>
        </w:rPr>
        <w:t xml:space="preserve">de </w:t>
      </w:r>
      <w:r w:rsidR="00617CC3">
        <w:rPr>
          <w:rFonts w:asciiTheme="majorHAnsi" w:eastAsia="Calibri" w:hAnsiTheme="majorHAnsi" w:cstheme="majorHAnsi"/>
          <w:b/>
          <w:sz w:val="24"/>
          <w:szCs w:val="24"/>
        </w:rPr>
        <w:t xml:space="preserve"> </w:t>
      </w:r>
      <w:proofErr w:type="spellStart"/>
      <w:r w:rsidR="005158D6">
        <w:rPr>
          <w:rFonts w:asciiTheme="majorHAnsi" w:eastAsia="Calibri" w:hAnsiTheme="majorHAnsi" w:cstheme="majorHAnsi"/>
          <w:b/>
          <w:sz w:val="24"/>
          <w:szCs w:val="24"/>
        </w:rPr>
        <w:t>xxx</w:t>
      </w:r>
      <w:proofErr w:type="spellEnd"/>
      <w:proofErr w:type="gramEnd"/>
      <w:r w:rsidR="00617CC3">
        <w:rPr>
          <w:rFonts w:asciiTheme="majorHAnsi" w:eastAsia="Calibri" w:hAnsiTheme="majorHAnsi" w:cstheme="majorHAnsi"/>
          <w:b/>
          <w:sz w:val="24"/>
          <w:szCs w:val="24"/>
        </w:rPr>
        <w:t xml:space="preserve">  2026</w:t>
      </w:r>
    </w:p>
    <w:p w14:paraId="676A459B" w14:textId="77777777" w:rsidR="00520F3C" w:rsidRDefault="00520F3C">
      <w:pPr>
        <w:spacing w:line="276" w:lineRule="auto"/>
        <w:ind w:left="0" w:hanging="2"/>
        <w:jc w:val="center"/>
        <w:rPr>
          <w:rFonts w:asciiTheme="majorHAnsi" w:eastAsia="Calibri" w:hAnsiTheme="majorHAnsi" w:cstheme="majorHAnsi"/>
          <w:sz w:val="24"/>
          <w:szCs w:val="24"/>
        </w:rPr>
      </w:pPr>
    </w:p>
    <w:p w14:paraId="55F394CD" w14:textId="77777777" w:rsidR="00652DE9" w:rsidRDefault="00652DE9">
      <w:pPr>
        <w:spacing w:line="276" w:lineRule="auto"/>
        <w:ind w:left="0" w:hanging="2"/>
        <w:jc w:val="center"/>
        <w:rPr>
          <w:rFonts w:asciiTheme="majorHAnsi" w:eastAsia="Calibri" w:hAnsiTheme="majorHAnsi" w:cstheme="majorHAnsi"/>
          <w:sz w:val="24"/>
          <w:szCs w:val="24"/>
        </w:rPr>
      </w:pPr>
    </w:p>
    <w:p w14:paraId="30805130" w14:textId="77777777" w:rsidR="00652DE9" w:rsidRPr="00086193" w:rsidRDefault="00652DE9">
      <w:pPr>
        <w:spacing w:line="276" w:lineRule="auto"/>
        <w:ind w:left="0" w:hanging="2"/>
        <w:jc w:val="center"/>
        <w:rPr>
          <w:rFonts w:asciiTheme="majorHAnsi" w:eastAsia="Calibri" w:hAnsiTheme="majorHAnsi" w:cstheme="majorHAnsi"/>
          <w:sz w:val="24"/>
          <w:szCs w:val="24"/>
        </w:rPr>
      </w:pPr>
    </w:p>
    <w:p w14:paraId="72FD3362"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____________________________________________</w:t>
      </w:r>
    </w:p>
    <w:p w14:paraId="76A91BE7"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(Representante legal)</w:t>
      </w:r>
    </w:p>
    <w:sectPr w:rsidR="00520F3C" w:rsidRPr="00086193" w:rsidSect="00493626">
      <w:headerReference w:type="even" r:id="rId10"/>
      <w:headerReference w:type="default" r:id="rId11"/>
      <w:footerReference w:type="even" r:id="rId12"/>
      <w:footerReference w:type="default" r:id="rId13"/>
      <w:headerReference w:type="first" r:id="rId14"/>
      <w:footerReference w:type="first" r:id="rId15"/>
      <w:pgSz w:w="11906" w:h="16838"/>
      <w:pgMar w:top="2127" w:right="1701" w:bottom="1417" w:left="1701" w:header="8"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00968" w14:textId="77777777" w:rsidR="00B345D8" w:rsidRDefault="00B345D8">
      <w:pPr>
        <w:spacing w:line="240" w:lineRule="auto"/>
        <w:ind w:left="0" w:hanging="2"/>
      </w:pPr>
      <w:r>
        <w:separator/>
      </w:r>
    </w:p>
  </w:endnote>
  <w:endnote w:type="continuationSeparator" w:id="0">
    <w:p w14:paraId="46BFDCD5" w14:textId="77777777" w:rsidR="00B345D8" w:rsidRDefault="00B345D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00000000" w:usb1="500078FF" w:usb2="00000021" w:usb3="00000000" w:csb0="000001BF" w:csb1="00000000"/>
  </w:font>
  <w:font w:name="AR PL UMing CN">
    <w:panose1 w:val="00000000000000000000"/>
    <w:charset w:val="00"/>
    <w:family w:val="roman"/>
    <w:notTrueType/>
    <w:pitch w:val="default"/>
  </w:font>
  <w:font w:name="DejaVu Sans Condensed">
    <w:altName w:val="Sylfaen"/>
    <w:charset w:val="00"/>
    <w:family w:val="swiss"/>
    <w:pitch w:val="variable"/>
    <w:sig w:usb0="00000000"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itstream Vera Sans">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mbria"/>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tarSymbol">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CourierNew">
    <w:altName w:val="Courier New"/>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DBED" w14:textId="77777777" w:rsidR="00D25F00" w:rsidRDefault="00D25F0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Centro Administrativo Prefeito Antônio Chequer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DEDD" w14:textId="77777777" w:rsidR="00D25F00" w:rsidRDefault="00D25F0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2BBB2" w14:textId="77777777" w:rsidR="00B345D8" w:rsidRDefault="00B345D8">
      <w:pPr>
        <w:spacing w:line="240" w:lineRule="auto"/>
        <w:ind w:left="0" w:hanging="2"/>
      </w:pPr>
      <w:r>
        <w:separator/>
      </w:r>
    </w:p>
  </w:footnote>
  <w:footnote w:type="continuationSeparator" w:id="0">
    <w:p w14:paraId="21ECFF98" w14:textId="77777777" w:rsidR="00B345D8" w:rsidRDefault="00B345D8">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63ED" w14:textId="77777777" w:rsidR="00D25F00" w:rsidRDefault="00D25F0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26A8F082">
          <wp:simplePos x="0" y="0"/>
          <wp:positionH relativeFrom="margin">
            <wp:align>center</wp:align>
          </wp:positionH>
          <wp:positionV relativeFrom="paragraph">
            <wp:posOffset>81229</wp:posOffset>
          </wp:positionV>
          <wp:extent cx="731520" cy="603250"/>
          <wp:effectExtent l="0" t="0" r="0" b="6350"/>
          <wp:wrapNone/>
          <wp:docPr id="1975849588" name="Imagem 1975849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4B69C817" w:rsidR="00D25F00" w:rsidRDefault="00C33994"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Viçosa-MG</w:t>
    </w:r>
  </w:p>
  <w:p w14:paraId="570BE0C3" w14:textId="1A9FE12C" w:rsidR="00D25F00" w:rsidRDefault="00D25F00" w:rsidP="00216871">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 xml:space="preserve">Secretaria de </w:t>
    </w:r>
    <w:r w:rsidR="00216871">
      <w:rPr>
        <w:rFonts w:ascii="Arial" w:eastAsia="Arial" w:hAnsi="Arial" w:cs="Arial"/>
        <w:b/>
      </w:rPr>
      <w:t>Municipal de Saúde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2" w15:restartNumberingAfterBreak="0">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num w:numId="1" w16cid:durableId="392431467">
    <w:abstractNumId w:val="0"/>
  </w:num>
  <w:num w:numId="2" w16cid:durableId="1635066255">
    <w:abstractNumId w:val="3"/>
  </w:num>
  <w:num w:numId="3" w16cid:durableId="158932018">
    <w:abstractNumId w:val="1"/>
  </w:num>
  <w:num w:numId="4" w16cid:durableId="14173668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3C"/>
    <w:rsid w:val="000133EA"/>
    <w:rsid w:val="00014B10"/>
    <w:rsid w:val="00020F67"/>
    <w:rsid w:val="00055B37"/>
    <w:rsid w:val="00063469"/>
    <w:rsid w:val="00064945"/>
    <w:rsid w:val="000734B4"/>
    <w:rsid w:val="00074593"/>
    <w:rsid w:val="00086193"/>
    <w:rsid w:val="00087389"/>
    <w:rsid w:val="000918A3"/>
    <w:rsid w:val="00097778"/>
    <w:rsid w:val="000C7FE2"/>
    <w:rsid w:val="000D41CD"/>
    <w:rsid w:val="000E582A"/>
    <w:rsid w:val="00101E8E"/>
    <w:rsid w:val="00171936"/>
    <w:rsid w:val="001737B8"/>
    <w:rsid w:val="00183B51"/>
    <w:rsid w:val="00184FFB"/>
    <w:rsid w:val="001853F2"/>
    <w:rsid w:val="00195C73"/>
    <w:rsid w:val="001A327D"/>
    <w:rsid w:val="001A3B06"/>
    <w:rsid w:val="001D28D4"/>
    <w:rsid w:val="001D42FC"/>
    <w:rsid w:val="001D5C5B"/>
    <w:rsid w:val="002141DE"/>
    <w:rsid w:val="00216871"/>
    <w:rsid w:val="00223EA0"/>
    <w:rsid w:val="00252A27"/>
    <w:rsid w:val="00262C62"/>
    <w:rsid w:val="00263C3A"/>
    <w:rsid w:val="002A3437"/>
    <w:rsid w:val="002A3A3B"/>
    <w:rsid w:val="002A5CB0"/>
    <w:rsid w:val="002B4B17"/>
    <w:rsid w:val="002C1B6F"/>
    <w:rsid w:val="002D1D0D"/>
    <w:rsid w:val="002E3BB7"/>
    <w:rsid w:val="002E75F8"/>
    <w:rsid w:val="002F27DE"/>
    <w:rsid w:val="0030505D"/>
    <w:rsid w:val="003078A1"/>
    <w:rsid w:val="00326E91"/>
    <w:rsid w:val="003306A2"/>
    <w:rsid w:val="00332CC1"/>
    <w:rsid w:val="0033628D"/>
    <w:rsid w:val="0034696D"/>
    <w:rsid w:val="003738A5"/>
    <w:rsid w:val="003843AF"/>
    <w:rsid w:val="00385A11"/>
    <w:rsid w:val="00396BDB"/>
    <w:rsid w:val="003C08CF"/>
    <w:rsid w:val="003C7D2A"/>
    <w:rsid w:val="003E17EE"/>
    <w:rsid w:val="003E52DC"/>
    <w:rsid w:val="003F1917"/>
    <w:rsid w:val="003F1CC0"/>
    <w:rsid w:val="00402E67"/>
    <w:rsid w:val="00403366"/>
    <w:rsid w:val="0040358D"/>
    <w:rsid w:val="00406A50"/>
    <w:rsid w:val="00407189"/>
    <w:rsid w:val="00420947"/>
    <w:rsid w:val="00421E97"/>
    <w:rsid w:val="00421F01"/>
    <w:rsid w:val="004509B9"/>
    <w:rsid w:val="00466353"/>
    <w:rsid w:val="004676D4"/>
    <w:rsid w:val="004817EC"/>
    <w:rsid w:val="004875EF"/>
    <w:rsid w:val="00493626"/>
    <w:rsid w:val="00496C76"/>
    <w:rsid w:val="004B5CCE"/>
    <w:rsid w:val="004C206A"/>
    <w:rsid w:val="004C5712"/>
    <w:rsid w:val="005158D6"/>
    <w:rsid w:val="00520F3C"/>
    <w:rsid w:val="005334EA"/>
    <w:rsid w:val="00537355"/>
    <w:rsid w:val="00572E44"/>
    <w:rsid w:val="0058577C"/>
    <w:rsid w:val="00591A12"/>
    <w:rsid w:val="005B5E67"/>
    <w:rsid w:val="005C38A7"/>
    <w:rsid w:val="005D6B37"/>
    <w:rsid w:val="005E7E9D"/>
    <w:rsid w:val="00617CC3"/>
    <w:rsid w:val="006237D5"/>
    <w:rsid w:val="006271F4"/>
    <w:rsid w:val="006273D2"/>
    <w:rsid w:val="00647A2B"/>
    <w:rsid w:val="00652DE9"/>
    <w:rsid w:val="006568D2"/>
    <w:rsid w:val="00676A6D"/>
    <w:rsid w:val="0068289E"/>
    <w:rsid w:val="006828CF"/>
    <w:rsid w:val="00684C75"/>
    <w:rsid w:val="00686D31"/>
    <w:rsid w:val="00693773"/>
    <w:rsid w:val="00696D0F"/>
    <w:rsid w:val="006A15AB"/>
    <w:rsid w:val="006B3B33"/>
    <w:rsid w:val="006B6877"/>
    <w:rsid w:val="006C2323"/>
    <w:rsid w:val="006C56D3"/>
    <w:rsid w:val="006E5BA1"/>
    <w:rsid w:val="006E5E27"/>
    <w:rsid w:val="00710307"/>
    <w:rsid w:val="00747DF8"/>
    <w:rsid w:val="00752CD4"/>
    <w:rsid w:val="00766E3F"/>
    <w:rsid w:val="00770CE1"/>
    <w:rsid w:val="007A022E"/>
    <w:rsid w:val="007A340B"/>
    <w:rsid w:val="007B476D"/>
    <w:rsid w:val="007C0CE0"/>
    <w:rsid w:val="007C28E0"/>
    <w:rsid w:val="007C3077"/>
    <w:rsid w:val="007C4A0B"/>
    <w:rsid w:val="007D7E00"/>
    <w:rsid w:val="00820730"/>
    <w:rsid w:val="00821D5F"/>
    <w:rsid w:val="00842995"/>
    <w:rsid w:val="008456CB"/>
    <w:rsid w:val="00854472"/>
    <w:rsid w:val="00855522"/>
    <w:rsid w:val="00864585"/>
    <w:rsid w:val="0088074D"/>
    <w:rsid w:val="00897117"/>
    <w:rsid w:val="008B39CF"/>
    <w:rsid w:val="008C4056"/>
    <w:rsid w:val="008D342D"/>
    <w:rsid w:val="008D7EEF"/>
    <w:rsid w:val="00915EEA"/>
    <w:rsid w:val="009255C7"/>
    <w:rsid w:val="00937D5B"/>
    <w:rsid w:val="0094695B"/>
    <w:rsid w:val="009532C4"/>
    <w:rsid w:val="009660A1"/>
    <w:rsid w:val="009775BB"/>
    <w:rsid w:val="00977DD4"/>
    <w:rsid w:val="009A0C40"/>
    <w:rsid w:val="009A7CDF"/>
    <w:rsid w:val="009B0153"/>
    <w:rsid w:val="009B4131"/>
    <w:rsid w:val="009C032A"/>
    <w:rsid w:val="009C2453"/>
    <w:rsid w:val="009C4ADC"/>
    <w:rsid w:val="00A1084E"/>
    <w:rsid w:val="00A11B91"/>
    <w:rsid w:val="00A1330E"/>
    <w:rsid w:val="00A21F05"/>
    <w:rsid w:val="00A60671"/>
    <w:rsid w:val="00A660DF"/>
    <w:rsid w:val="00A73326"/>
    <w:rsid w:val="00A822F2"/>
    <w:rsid w:val="00A85F06"/>
    <w:rsid w:val="00A91623"/>
    <w:rsid w:val="00A95497"/>
    <w:rsid w:val="00A95BD5"/>
    <w:rsid w:val="00AA32E7"/>
    <w:rsid w:val="00AA73E7"/>
    <w:rsid w:val="00AB1385"/>
    <w:rsid w:val="00AB233D"/>
    <w:rsid w:val="00AB7090"/>
    <w:rsid w:val="00AB7974"/>
    <w:rsid w:val="00AC2314"/>
    <w:rsid w:val="00AC48D1"/>
    <w:rsid w:val="00AC7919"/>
    <w:rsid w:val="00AD09A0"/>
    <w:rsid w:val="00AD10F6"/>
    <w:rsid w:val="00AE7825"/>
    <w:rsid w:val="00B1305C"/>
    <w:rsid w:val="00B1317D"/>
    <w:rsid w:val="00B202B1"/>
    <w:rsid w:val="00B24C93"/>
    <w:rsid w:val="00B33FCB"/>
    <w:rsid w:val="00B345D8"/>
    <w:rsid w:val="00B34EB7"/>
    <w:rsid w:val="00B35724"/>
    <w:rsid w:val="00B551ED"/>
    <w:rsid w:val="00B727F2"/>
    <w:rsid w:val="00B825C0"/>
    <w:rsid w:val="00BA241B"/>
    <w:rsid w:val="00BB682F"/>
    <w:rsid w:val="00BD7355"/>
    <w:rsid w:val="00BE36A3"/>
    <w:rsid w:val="00BE419C"/>
    <w:rsid w:val="00BF46EA"/>
    <w:rsid w:val="00BF7C63"/>
    <w:rsid w:val="00C02C03"/>
    <w:rsid w:val="00C06805"/>
    <w:rsid w:val="00C24887"/>
    <w:rsid w:val="00C30209"/>
    <w:rsid w:val="00C33994"/>
    <w:rsid w:val="00C4425D"/>
    <w:rsid w:val="00CA0A7D"/>
    <w:rsid w:val="00CA17DA"/>
    <w:rsid w:val="00CB0257"/>
    <w:rsid w:val="00CB266F"/>
    <w:rsid w:val="00CC54D4"/>
    <w:rsid w:val="00CC5B6A"/>
    <w:rsid w:val="00CD5EB6"/>
    <w:rsid w:val="00CF0B0F"/>
    <w:rsid w:val="00CF286C"/>
    <w:rsid w:val="00CF4286"/>
    <w:rsid w:val="00CF6B5C"/>
    <w:rsid w:val="00D001BB"/>
    <w:rsid w:val="00D01AFB"/>
    <w:rsid w:val="00D115B0"/>
    <w:rsid w:val="00D14B8D"/>
    <w:rsid w:val="00D25F00"/>
    <w:rsid w:val="00D27A30"/>
    <w:rsid w:val="00D3169F"/>
    <w:rsid w:val="00D322B4"/>
    <w:rsid w:val="00D35D8B"/>
    <w:rsid w:val="00D41CDF"/>
    <w:rsid w:val="00D60530"/>
    <w:rsid w:val="00D93340"/>
    <w:rsid w:val="00E10253"/>
    <w:rsid w:val="00E30500"/>
    <w:rsid w:val="00E312D0"/>
    <w:rsid w:val="00E35783"/>
    <w:rsid w:val="00E4497C"/>
    <w:rsid w:val="00E5007C"/>
    <w:rsid w:val="00E52CFF"/>
    <w:rsid w:val="00E717DB"/>
    <w:rsid w:val="00E91A67"/>
    <w:rsid w:val="00EA1043"/>
    <w:rsid w:val="00EA62F3"/>
    <w:rsid w:val="00EA6B52"/>
    <w:rsid w:val="00EA7EF8"/>
    <w:rsid w:val="00EC60A7"/>
    <w:rsid w:val="00ED0087"/>
    <w:rsid w:val="00ED7D6A"/>
    <w:rsid w:val="00EF5A88"/>
    <w:rsid w:val="00F21F2B"/>
    <w:rsid w:val="00F22A4E"/>
    <w:rsid w:val="00F322B5"/>
    <w:rsid w:val="00F32E1A"/>
    <w:rsid w:val="00F52FAA"/>
    <w:rsid w:val="00F57CAE"/>
    <w:rsid w:val="00F92530"/>
    <w:rsid w:val="00FB54C7"/>
    <w:rsid w:val="00FE71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rPr>
      <w:w w:val="100"/>
      <w:kern w:val="2"/>
      <w:position w:val="-1"/>
      <w:sz w:val="24"/>
      <w:szCs w:val="24"/>
      <w:u w:val="single"/>
      <w:effect w:val="none"/>
      <w:vertAlign w:val="baseline"/>
      <w:cs w:val="0"/>
      <w:em w:val="none"/>
      <w:lang w:eastAsia="zh-CN"/>
    </w:rPr>
  </w:style>
  <w:style w:type="character" w:customStyle="1" w:styleId="Ttulo3Char">
    <w:name w:val="Título 3 Char"/>
    <w:rPr>
      <w:rFonts w:ascii="Arial" w:hAnsi="Arial"/>
      <w:b/>
      <w:bCs/>
      <w:w w:val="100"/>
      <w:kern w:val="2"/>
      <w:position w:val="-1"/>
      <w:sz w:val="26"/>
      <w:szCs w:val="26"/>
      <w:effect w:val="none"/>
      <w:vertAlign w:val="baseline"/>
      <w:cs w:val="0"/>
      <w:em w:val="none"/>
    </w:rPr>
  </w:style>
  <w:style w:type="character" w:customStyle="1" w:styleId="Ttulo2Char">
    <w:name w:val="Título 2 Char"/>
    <w:rPr>
      <w:rFonts w:ascii="Arial" w:hAnsi="Arial" w:cs="Arial"/>
      <w:b/>
      <w:w w:val="100"/>
      <w:position w:val="-1"/>
      <w:effect w:val="none"/>
      <w:vertAlign w:val="baseline"/>
      <w:cs w:val="0"/>
      <w:em w:val="none"/>
      <w:lang w:val="pt-PT"/>
    </w:rPr>
  </w:style>
  <w:style w:type="character" w:customStyle="1" w:styleId="Ttulo4Char">
    <w:name w:val="Título 4 Char"/>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rPr>
      <w:w w:val="100"/>
      <w:kern w:val="2"/>
      <w:position w:val="-1"/>
      <w:sz w:val="24"/>
      <w:szCs w:val="24"/>
      <w:effect w:val="none"/>
      <w:vertAlign w:val="baseline"/>
      <w:cs w:val="0"/>
      <w:em w:val="none"/>
    </w:rPr>
  </w:style>
  <w:style w:type="character" w:customStyle="1" w:styleId="CabealhoChar">
    <w:name w:val="Cabeçalho Char"/>
    <w:basedOn w:val="Fontepargpadro"/>
    <w:rPr>
      <w:w w:val="100"/>
      <w:position w:val="-1"/>
      <w:effect w:val="none"/>
      <w:vertAlign w:val="baseline"/>
      <w:cs w:val="0"/>
      <w:em w:val="none"/>
    </w:rPr>
  </w:style>
  <w:style w:type="paragraph" w:styleId="Rodap">
    <w:name w:val="footer"/>
    <w:basedOn w:val="Normal"/>
    <w:qFormat/>
    <w:pPr>
      <w:widowControl w:val="0"/>
      <w:tabs>
        <w:tab w:val="center" w:pos="4818"/>
        <w:tab w:val="right" w:pos="9637"/>
      </w:tabs>
      <w:suppressAutoHyphens w:val="0"/>
    </w:pPr>
    <w:rPr>
      <w:kern w:val="2"/>
      <w:sz w:val="24"/>
      <w:szCs w:val="24"/>
    </w:rPr>
  </w:style>
  <w:style w:type="character" w:customStyle="1" w:styleId="RodapChar1">
    <w:name w:val="Rodapé Char1"/>
    <w:rPr>
      <w:w w:val="100"/>
      <w:kern w:val="2"/>
      <w:position w:val="-1"/>
      <w:sz w:val="24"/>
      <w:szCs w:val="24"/>
      <w:effect w:val="none"/>
      <w:vertAlign w:val="baseline"/>
      <w:cs w:val="0"/>
      <w:em w:val="none"/>
    </w:rPr>
  </w:style>
  <w:style w:type="character" w:customStyle="1" w:styleId="RodapChar">
    <w:name w:val="Rodapé Char"/>
    <w:basedOn w:val="Fontepargpadro"/>
    <w:rPr>
      <w:w w:val="100"/>
      <w:position w:val="-1"/>
      <w:effect w:val="none"/>
      <w:vertAlign w:val="baseline"/>
      <w:cs w:val="0"/>
      <w:em w:val="none"/>
    </w:rPr>
  </w:style>
  <w:style w:type="paragraph" w:styleId="Corpodetexto">
    <w:name w:val="Body Text"/>
    <w:basedOn w:val="Normal"/>
    <w:qFormat/>
    <w:pPr>
      <w:widowControl w:val="0"/>
      <w:suppressAutoHyphens w:val="0"/>
      <w:spacing w:after="120"/>
    </w:pPr>
    <w:rPr>
      <w:kern w:val="2"/>
      <w:sz w:val="24"/>
      <w:szCs w:val="24"/>
    </w:rPr>
  </w:style>
  <w:style w:type="character" w:customStyle="1" w:styleId="CorpodetextoChar1">
    <w:name w:val="Corpo de texto Char1"/>
    <w:rPr>
      <w:w w:val="100"/>
      <w:kern w:val="2"/>
      <w:position w:val="-1"/>
      <w:sz w:val="24"/>
      <w:szCs w:val="24"/>
      <w:effect w:val="none"/>
      <w:vertAlign w:val="baseline"/>
      <w:cs w:val="0"/>
      <w:em w:val="none"/>
    </w:rPr>
  </w:style>
  <w:style w:type="character" w:customStyle="1" w:styleId="CorpodetextoChar">
    <w:name w:val="Corpo de texto Char"/>
    <w:basedOn w:val="Fontepargpadro"/>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qFormat/>
    <w:pPr>
      <w:widowControl w:val="0"/>
      <w:suppressAutoHyphens w:val="0"/>
    </w:pPr>
    <w:rPr>
      <w:rFonts w:ascii="Tahoma" w:hAnsi="Tahoma"/>
      <w:sz w:val="16"/>
      <w:szCs w:val="16"/>
    </w:rPr>
  </w:style>
  <w:style w:type="character" w:customStyle="1" w:styleId="TextodebaloChar1">
    <w:name w:val="Texto de balão Char1"/>
    <w:rPr>
      <w:rFonts w:ascii="Tahoma" w:hAnsi="Tahoma" w:cs="Tahoma"/>
      <w:w w:val="100"/>
      <w:position w:val="-1"/>
      <w:sz w:val="16"/>
      <w:szCs w:val="16"/>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pPr>
      <w:widowControl w:val="0"/>
      <w:suppressAutoHyphens w:val="0"/>
      <w:ind w:left="720"/>
    </w:pPr>
  </w:style>
  <w:style w:type="paragraph" w:styleId="Citao">
    <w:name w:val="Quote"/>
    <w:basedOn w:val="Normal"/>
    <w:next w:val="Normal"/>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70" w:type="dxa"/>
        <w:right w:w="70" w:type="dxa"/>
      </w:tblCellMar>
    </w:tblPr>
  </w:style>
  <w:style w:type="character" w:styleId="Refdecomentrio">
    <w:name w:val="annotation reference"/>
    <w:uiPriority w:val="99"/>
    <w:semiHidden/>
    <w:unhideWhenUsed/>
    <w:rsid w:val="00EA6B52"/>
    <w:rPr>
      <w:sz w:val="16"/>
      <w:szCs w:val="16"/>
    </w:rPr>
  </w:style>
  <w:style w:type="paragraph" w:styleId="Textodecomentrio">
    <w:name w:val="annotation text"/>
    <w:basedOn w:val="Normal"/>
    <w:link w:val="TextodecomentrioChar"/>
    <w:uiPriority w:val="99"/>
    <w:semiHidden/>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semiHidden/>
    <w:rsid w:val="00EA6B52"/>
    <w:rPr>
      <w:position w:val="-1"/>
    </w:rPr>
  </w:style>
  <w:style w:type="paragraph" w:styleId="Assuntodocomentrio">
    <w:name w:val="annotation subject"/>
    <w:basedOn w:val="Textodecomentrio"/>
    <w:next w:val="Textodecomentrio"/>
    <w:link w:val="AssuntodocomentrioChar"/>
    <w:uiPriority w:val="99"/>
    <w:semiHidden/>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table" w:customStyle="1" w:styleId="4">
    <w:name w:val="4"/>
    <w:basedOn w:val="Tabelanormal"/>
    <w:rsid w:val="003C08CF"/>
    <w:pPr>
      <w:widowControl w:val="0"/>
    </w:pPr>
    <w:rPr>
      <w:sz w:val="22"/>
      <w:szCs w:val="22"/>
      <w:lang w:val="pt-PT"/>
    </w:rPr>
    <w:tblPr>
      <w:tblStyleRowBandSize w:val="1"/>
      <w:tblStyleColBandSize w:val="1"/>
      <w:tblCellMar>
        <w:left w:w="0" w:type="dxa"/>
        <w:right w:w="0" w:type="dxa"/>
      </w:tblCellMar>
    </w:tblPr>
  </w:style>
  <w:style w:type="character" w:styleId="Hyperlink">
    <w:name w:val="Hyperlink"/>
    <w:basedOn w:val="Fontepargpadro"/>
    <w:uiPriority w:val="99"/>
    <w:unhideWhenUsed/>
    <w:rsid w:val="00086193"/>
    <w:rPr>
      <w:color w:val="0000FF" w:themeColor="hyperlink"/>
      <w:u w:val="single"/>
    </w:rPr>
  </w:style>
  <w:style w:type="character" w:customStyle="1" w:styleId="MenoPendente1">
    <w:name w:val="Menção Pendente1"/>
    <w:basedOn w:val="Fontepargpadro"/>
    <w:uiPriority w:val="99"/>
    <w:semiHidden/>
    <w:unhideWhenUsed/>
    <w:rsid w:val="00195C73"/>
    <w:rPr>
      <w:color w:val="605E5C"/>
      <w:shd w:val="clear" w:color="auto" w:fill="E1DFDD"/>
    </w:rPr>
  </w:style>
  <w:style w:type="character" w:styleId="MenoPendente">
    <w:name w:val="Unresolved Mention"/>
    <w:basedOn w:val="Fontepargpadro"/>
    <w:uiPriority w:val="99"/>
    <w:semiHidden/>
    <w:unhideWhenUsed/>
    <w:rsid w:val="006828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 w:id="869873689">
      <w:bodyDiv w:val="1"/>
      <w:marLeft w:val="0"/>
      <w:marRight w:val="0"/>
      <w:marTop w:val="0"/>
      <w:marBottom w:val="0"/>
      <w:divBdr>
        <w:top w:val="none" w:sz="0" w:space="0" w:color="auto"/>
        <w:left w:val="none" w:sz="0" w:space="0" w:color="auto"/>
        <w:bottom w:val="none" w:sz="0" w:space="0" w:color="auto"/>
        <w:right w:val="none" w:sz="0" w:space="0" w:color="auto"/>
      </w:divBdr>
      <w:divsChild>
        <w:div w:id="397704693">
          <w:marLeft w:val="0"/>
          <w:marRight w:val="0"/>
          <w:marTop w:val="0"/>
          <w:marBottom w:val="0"/>
          <w:divBdr>
            <w:top w:val="none" w:sz="0" w:space="0" w:color="auto"/>
            <w:left w:val="none" w:sz="0" w:space="0" w:color="auto"/>
            <w:bottom w:val="none" w:sz="0" w:space="0" w:color="auto"/>
            <w:right w:val="none" w:sz="0" w:space="0" w:color="auto"/>
          </w:divBdr>
        </w:div>
        <w:div w:id="1107434335">
          <w:marLeft w:val="0"/>
          <w:marRight w:val="0"/>
          <w:marTop w:val="0"/>
          <w:marBottom w:val="0"/>
          <w:divBdr>
            <w:top w:val="none" w:sz="0" w:space="0" w:color="auto"/>
            <w:left w:val="none" w:sz="0" w:space="0" w:color="auto"/>
            <w:bottom w:val="none" w:sz="0" w:space="0" w:color="auto"/>
            <w:right w:val="none" w:sz="0" w:space="0" w:color="auto"/>
          </w:divBdr>
        </w:div>
        <w:div w:id="245185668">
          <w:marLeft w:val="0"/>
          <w:marRight w:val="0"/>
          <w:marTop w:val="0"/>
          <w:marBottom w:val="0"/>
          <w:divBdr>
            <w:top w:val="none" w:sz="0" w:space="0" w:color="auto"/>
            <w:left w:val="none" w:sz="0" w:space="0" w:color="auto"/>
            <w:bottom w:val="none" w:sz="0" w:space="0" w:color="auto"/>
            <w:right w:val="none" w:sz="0" w:space="0" w:color="auto"/>
          </w:divBdr>
        </w:div>
        <w:div w:id="541334425">
          <w:marLeft w:val="0"/>
          <w:marRight w:val="0"/>
          <w:marTop w:val="0"/>
          <w:marBottom w:val="0"/>
          <w:divBdr>
            <w:top w:val="none" w:sz="0" w:space="0" w:color="auto"/>
            <w:left w:val="none" w:sz="0" w:space="0" w:color="auto"/>
            <w:bottom w:val="none" w:sz="0" w:space="0" w:color="auto"/>
            <w:right w:val="none" w:sz="0" w:space="0" w:color="auto"/>
          </w:divBdr>
        </w:div>
        <w:div w:id="1158502069">
          <w:marLeft w:val="0"/>
          <w:marRight w:val="0"/>
          <w:marTop w:val="0"/>
          <w:marBottom w:val="0"/>
          <w:divBdr>
            <w:top w:val="none" w:sz="0" w:space="0" w:color="auto"/>
            <w:left w:val="none" w:sz="0" w:space="0" w:color="auto"/>
            <w:bottom w:val="none" w:sz="0" w:space="0" w:color="auto"/>
            <w:right w:val="none" w:sz="0" w:space="0" w:color="auto"/>
          </w:divBdr>
        </w:div>
        <w:div w:id="60176897">
          <w:marLeft w:val="0"/>
          <w:marRight w:val="0"/>
          <w:marTop w:val="0"/>
          <w:marBottom w:val="0"/>
          <w:divBdr>
            <w:top w:val="none" w:sz="0" w:space="0" w:color="auto"/>
            <w:left w:val="none" w:sz="0" w:space="0" w:color="auto"/>
            <w:bottom w:val="none" w:sz="0" w:space="0" w:color="auto"/>
            <w:right w:val="none" w:sz="0" w:space="0" w:color="auto"/>
          </w:divBdr>
        </w:div>
        <w:div w:id="1164663257">
          <w:marLeft w:val="0"/>
          <w:marRight w:val="0"/>
          <w:marTop w:val="0"/>
          <w:marBottom w:val="0"/>
          <w:divBdr>
            <w:top w:val="none" w:sz="0" w:space="0" w:color="auto"/>
            <w:left w:val="none" w:sz="0" w:space="0" w:color="auto"/>
            <w:bottom w:val="none" w:sz="0" w:space="0" w:color="auto"/>
            <w:right w:val="none" w:sz="0" w:space="0" w:color="auto"/>
          </w:divBdr>
        </w:div>
        <w:div w:id="17972489">
          <w:marLeft w:val="0"/>
          <w:marRight w:val="0"/>
          <w:marTop w:val="0"/>
          <w:marBottom w:val="0"/>
          <w:divBdr>
            <w:top w:val="none" w:sz="0" w:space="0" w:color="auto"/>
            <w:left w:val="none" w:sz="0" w:space="0" w:color="auto"/>
            <w:bottom w:val="none" w:sz="0" w:space="0" w:color="auto"/>
            <w:right w:val="none" w:sz="0" w:space="0" w:color="auto"/>
          </w:divBdr>
        </w:div>
        <w:div w:id="204023030">
          <w:marLeft w:val="0"/>
          <w:marRight w:val="0"/>
          <w:marTop w:val="0"/>
          <w:marBottom w:val="0"/>
          <w:divBdr>
            <w:top w:val="none" w:sz="0" w:space="0" w:color="auto"/>
            <w:left w:val="none" w:sz="0" w:space="0" w:color="auto"/>
            <w:bottom w:val="none" w:sz="0" w:space="0" w:color="auto"/>
            <w:right w:val="none" w:sz="0" w:space="0" w:color="auto"/>
          </w:divBdr>
        </w:div>
        <w:div w:id="320618816">
          <w:marLeft w:val="0"/>
          <w:marRight w:val="0"/>
          <w:marTop w:val="0"/>
          <w:marBottom w:val="0"/>
          <w:divBdr>
            <w:top w:val="none" w:sz="0" w:space="0" w:color="auto"/>
            <w:left w:val="none" w:sz="0" w:space="0" w:color="auto"/>
            <w:bottom w:val="none" w:sz="0" w:space="0" w:color="auto"/>
            <w:right w:val="none" w:sz="0" w:space="0" w:color="auto"/>
          </w:divBdr>
        </w:div>
        <w:div w:id="1424842300">
          <w:marLeft w:val="0"/>
          <w:marRight w:val="0"/>
          <w:marTop w:val="0"/>
          <w:marBottom w:val="0"/>
          <w:divBdr>
            <w:top w:val="none" w:sz="0" w:space="0" w:color="auto"/>
            <w:left w:val="none" w:sz="0" w:space="0" w:color="auto"/>
            <w:bottom w:val="none" w:sz="0" w:space="0" w:color="auto"/>
            <w:right w:val="none" w:sz="0" w:space="0" w:color="auto"/>
          </w:divBdr>
        </w:div>
        <w:div w:id="1068041002">
          <w:marLeft w:val="0"/>
          <w:marRight w:val="0"/>
          <w:marTop w:val="0"/>
          <w:marBottom w:val="0"/>
          <w:divBdr>
            <w:top w:val="none" w:sz="0" w:space="0" w:color="auto"/>
            <w:left w:val="none" w:sz="0" w:space="0" w:color="auto"/>
            <w:bottom w:val="none" w:sz="0" w:space="0" w:color="auto"/>
            <w:right w:val="none" w:sz="0" w:space="0" w:color="auto"/>
          </w:divBdr>
        </w:div>
        <w:div w:id="1857040723">
          <w:marLeft w:val="0"/>
          <w:marRight w:val="0"/>
          <w:marTop w:val="0"/>
          <w:marBottom w:val="0"/>
          <w:divBdr>
            <w:top w:val="none" w:sz="0" w:space="0" w:color="auto"/>
            <w:left w:val="none" w:sz="0" w:space="0" w:color="auto"/>
            <w:bottom w:val="none" w:sz="0" w:space="0" w:color="auto"/>
            <w:right w:val="none" w:sz="0" w:space="0" w:color="auto"/>
          </w:divBdr>
        </w:div>
        <w:div w:id="1556234017">
          <w:marLeft w:val="0"/>
          <w:marRight w:val="0"/>
          <w:marTop w:val="0"/>
          <w:marBottom w:val="0"/>
          <w:divBdr>
            <w:top w:val="none" w:sz="0" w:space="0" w:color="auto"/>
            <w:left w:val="none" w:sz="0" w:space="0" w:color="auto"/>
            <w:bottom w:val="none" w:sz="0" w:space="0" w:color="auto"/>
            <w:right w:val="none" w:sz="0" w:space="0" w:color="auto"/>
          </w:divBdr>
        </w:div>
        <w:div w:id="1661233797">
          <w:marLeft w:val="0"/>
          <w:marRight w:val="0"/>
          <w:marTop w:val="0"/>
          <w:marBottom w:val="0"/>
          <w:divBdr>
            <w:top w:val="none" w:sz="0" w:space="0" w:color="auto"/>
            <w:left w:val="none" w:sz="0" w:space="0" w:color="auto"/>
            <w:bottom w:val="none" w:sz="0" w:space="0" w:color="auto"/>
            <w:right w:val="none" w:sz="0" w:space="0" w:color="auto"/>
          </w:divBdr>
        </w:div>
        <w:div w:id="349070956">
          <w:marLeft w:val="0"/>
          <w:marRight w:val="0"/>
          <w:marTop w:val="0"/>
          <w:marBottom w:val="0"/>
          <w:divBdr>
            <w:top w:val="none" w:sz="0" w:space="0" w:color="auto"/>
            <w:left w:val="none" w:sz="0" w:space="0" w:color="auto"/>
            <w:bottom w:val="none" w:sz="0" w:space="0" w:color="auto"/>
            <w:right w:val="none" w:sz="0" w:space="0" w:color="auto"/>
          </w:divBdr>
        </w:div>
        <w:div w:id="1825048034">
          <w:marLeft w:val="0"/>
          <w:marRight w:val="0"/>
          <w:marTop w:val="0"/>
          <w:marBottom w:val="0"/>
          <w:divBdr>
            <w:top w:val="none" w:sz="0" w:space="0" w:color="auto"/>
            <w:left w:val="none" w:sz="0" w:space="0" w:color="auto"/>
            <w:bottom w:val="none" w:sz="0" w:space="0" w:color="auto"/>
            <w:right w:val="none" w:sz="0" w:space="0" w:color="auto"/>
          </w:divBdr>
        </w:div>
        <w:div w:id="843786239">
          <w:marLeft w:val="0"/>
          <w:marRight w:val="0"/>
          <w:marTop w:val="0"/>
          <w:marBottom w:val="0"/>
          <w:divBdr>
            <w:top w:val="none" w:sz="0" w:space="0" w:color="auto"/>
            <w:left w:val="none" w:sz="0" w:space="0" w:color="auto"/>
            <w:bottom w:val="none" w:sz="0" w:space="0" w:color="auto"/>
            <w:right w:val="none" w:sz="0" w:space="0" w:color="auto"/>
          </w:divBdr>
        </w:div>
        <w:div w:id="135025923">
          <w:marLeft w:val="0"/>
          <w:marRight w:val="0"/>
          <w:marTop w:val="0"/>
          <w:marBottom w:val="0"/>
          <w:divBdr>
            <w:top w:val="none" w:sz="0" w:space="0" w:color="auto"/>
            <w:left w:val="none" w:sz="0" w:space="0" w:color="auto"/>
            <w:bottom w:val="none" w:sz="0" w:space="0" w:color="auto"/>
            <w:right w:val="none" w:sz="0" w:space="0" w:color="auto"/>
          </w:divBdr>
        </w:div>
        <w:div w:id="1810854742">
          <w:marLeft w:val="0"/>
          <w:marRight w:val="0"/>
          <w:marTop w:val="0"/>
          <w:marBottom w:val="0"/>
          <w:divBdr>
            <w:top w:val="none" w:sz="0" w:space="0" w:color="auto"/>
            <w:left w:val="none" w:sz="0" w:space="0" w:color="auto"/>
            <w:bottom w:val="none" w:sz="0" w:space="0" w:color="auto"/>
            <w:right w:val="none" w:sz="0" w:space="0" w:color="auto"/>
          </w:divBdr>
        </w:div>
        <w:div w:id="1377854106">
          <w:marLeft w:val="0"/>
          <w:marRight w:val="0"/>
          <w:marTop w:val="0"/>
          <w:marBottom w:val="0"/>
          <w:divBdr>
            <w:top w:val="none" w:sz="0" w:space="0" w:color="auto"/>
            <w:left w:val="none" w:sz="0" w:space="0" w:color="auto"/>
            <w:bottom w:val="none" w:sz="0" w:space="0" w:color="auto"/>
            <w:right w:val="none" w:sz="0" w:space="0" w:color="auto"/>
          </w:divBdr>
        </w:div>
        <w:div w:id="1528565779">
          <w:marLeft w:val="0"/>
          <w:marRight w:val="0"/>
          <w:marTop w:val="0"/>
          <w:marBottom w:val="0"/>
          <w:divBdr>
            <w:top w:val="none" w:sz="0" w:space="0" w:color="auto"/>
            <w:left w:val="none" w:sz="0" w:space="0" w:color="auto"/>
            <w:bottom w:val="none" w:sz="0" w:space="0" w:color="auto"/>
            <w:right w:val="none" w:sz="0" w:space="0" w:color="auto"/>
          </w:divBdr>
        </w:div>
        <w:div w:id="1117334367">
          <w:marLeft w:val="0"/>
          <w:marRight w:val="0"/>
          <w:marTop w:val="0"/>
          <w:marBottom w:val="0"/>
          <w:divBdr>
            <w:top w:val="none" w:sz="0" w:space="0" w:color="auto"/>
            <w:left w:val="none" w:sz="0" w:space="0" w:color="auto"/>
            <w:bottom w:val="none" w:sz="0" w:space="0" w:color="auto"/>
            <w:right w:val="none" w:sz="0" w:space="0" w:color="auto"/>
          </w:divBdr>
        </w:div>
        <w:div w:id="1715882639">
          <w:marLeft w:val="0"/>
          <w:marRight w:val="0"/>
          <w:marTop w:val="0"/>
          <w:marBottom w:val="0"/>
          <w:divBdr>
            <w:top w:val="none" w:sz="0" w:space="0" w:color="auto"/>
            <w:left w:val="none" w:sz="0" w:space="0" w:color="auto"/>
            <w:bottom w:val="none" w:sz="0" w:space="0" w:color="auto"/>
            <w:right w:val="none" w:sz="0" w:space="0" w:color="auto"/>
          </w:divBdr>
        </w:div>
        <w:div w:id="1804881886">
          <w:marLeft w:val="0"/>
          <w:marRight w:val="0"/>
          <w:marTop w:val="0"/>
          <w:marBottom w:val="0"/>
          <w:divBdr>
            <w:top w:val="none" w:sz="0" w:space="0" w:color="auto"/>
            <w:left w:val="none" w:sz="0" w:space="0" w:color="auto"/>
            <w:bottom w:val="none" w:sz="0" w:space="0" w:color="auto"/>
            <w:right w:val="none" w:sz="0" w:space="0" w:color="auto"/>
          </w:divBdr>
        </w:div>
      </w:divsChild>
    </w:div>
    <w:div w:id="1422868079">
      <w:bodyDiv w:val="1"/>
      <w:marLeft w:val="0"/>
      <w:marRight w:val="0"/>
      <w:marTop w:val="0"/>
      <w:marBottom w:val="0"/>
      <w:divBdr>
        <w:top w:val="none" w:sz="0" w:space="0" w:color="auto"/>
        <w:left w:val="none" w:sz="0" w:space="0" w:color="auto"/>
        <w:bottom w:val="none" w:sz="0" w:space="0" w:color="auto"/>
        <w:right w:val="none" w:sz="0" w:space="0" w:color="auto"/>
      </w:divBdr>
    </w:div>
    <w:div w:id="1593709549">
      <w:bodyDiv w:val="1"/>
      <w:marLeft w:val="0"/>
      <w:marRight w:val="0"/>
      <w:marTop w:val="0"/>
      <w:marBottom w:val="0"/>
      <w:divBdr>
        <w:top w:val="none" w:sz="0" w:space="0" w:color="auto"/>
        <w:left w:val="none" w:sz="0" w:space="0" w:color="auto"/>
        <w:bottom w:val="none" w:sz="0" w:space="0" w:color="auto"/>
        <w:right w:val="none" w:sz="0" w:space="0" w:color="auto"/>
      </w:divBdr>
      <w:divsChild>
        <w:div w:id="364865402">
          <w:marLeft w:val="0"/>
          <w:marRight w:val="0"/>
          <w:marTop w:val="0"/>
          <w:marBottom w:val="0"/>
          <w:divBdr>
            <w:top w:val="none" w:sz="0" w:space="0" w:color="auto"/>
            <w:left w:val="none" w:sz="0" w:space="0" w:color="auto"/>
            <w:bottom w:val="none" w:sz="0" w:space="0" w:color="auto"/>
            <w:right w:val="none" w:sz="0" w:space="0" w:color="auto"/>
          </w:divBdr>
        </w:div>
        <w:div w:id="1581407942">
          <w:marLeft w:val="0"/>
          <w:marRight w:val="0"/>
          <w:marTop w:val="0"/>
          <w:marBottom w:val="0"/>
          <w:divBdr>
            <w:top w:val="none" w:sz="0" w:space="0" w:color="auto"/>
            <w:left w:val="none" w:sz="0" w:space="0" w:color="auto"/>
            <w:bottom w:val="none" w:sz="0" w:space="0" w:color="auto"/>
            <w:right w:val="none" w:sz="0" w:space="0" w:color="auto"/>
          </w:divBdr>
        </w:div>
        <w:div w:id="93945770">
          <w:marLeft w:val="0"/>
          <w:marRight w:val="0"/>
          <w:marTop w:val="0"/>
          <w:marBottom w:val="0"/>
          <w:divBdr>
            <w:top w:val="none" w:sz="0" w:space="0" w:color="auto"/>
            <w:left w:val="none" w:sz="0" w:space="0" w:color="auto"/>
            <w:bottom w:val="none" w:sz="0" w:space="0" w:color="auto"/>
            <w:right w:val="none" w:sz="0" w:space="0" w:color="auto"/>
          </w:divBdr>
        </w:div>
        <w:div w:id="1373455379">
          <w:marLeft w:val="0"/>
          <w:marRight w:val="0"/>
          <w:marTop w:val="0"/>
          <w:marBottom w:val="0"/>
          <w:divBdr>
            <w:top w:val="none" w:sz="0" w:space="0" w:color="auto"/>
            <w:left w:val="none" w:sz="0" w:space="0" w:color="auto"/>
            <w:bottom w:val="none" w:sz="0" w:space="0" w:color="auto"/>
            <w:right w:val="none" w:sz="0" w:space="0" w:color="auto"/>
          </w:divBdr>
        </w:div>
        <w:div w:id="436366462">
          <w:marLeft w:val="0"/>
          <w:marRight w:val="0"/>
          <w:marTop w:val="0"/>
          <w:marBottom w:val="0"/>
          <w:divBdr>
            <w:top w:val="none" w:sz="0" w:space="0" w:color="auto"/>
            <w:left w:val="none" w:sz="0" w:space="0" w:color="auto"/>
            <w:bottom w:val="none" w:sz="0" w:space="0" w:color="auto"/>
            <w:right w:val="none" w:sz="0" w:space="0" w:color="auto"/>
          </w:divBdr>
        </w:div>
        <w:div w:id="1242367634">
          <w:marLeft w:val="0"/>
          <w:marRight w:val="0"/>
          <w:marTop w:val="0"/>
          <w:marBottom w:val="0"/>
          <w:divBdr>
            <w:top w:val="none" w:sz="0" w:space="0" w:color="auto"/>
            <w:left w:val="none" w:sz="0" w:space="0" w:color="auto"/>
            <w:bottom w:val="none" w:sz="0" w:space="0" w:color="auto"/>
            <w:right w:val="none" w:sz="0" w:space="0" w:color="auto"/>
          </w:divBdr>
        </w:div>
        <w:div w:id="431633329">
          <w:marLeft w:val="0"/>
          <w:marRight w:val="0"/>
          <w:marTop w:val="0"/>
          <w:marBottom w:val="0"/>
          <w:divBdr>
            <w:top w:val="none" w:sz="0" w:space="0" w:color="auto"/>
            <w:left w:val="none" w:sz="0" w:space="0" w:color="auto"/>
            <w:bottom w:val="none" w:sz="0" w:space="0" w:color="auto"/>
            <w:right w:val="none" w:sz="0" w:space="0" w:color="auto"/>
          </w:divBdr>
        </w:div>
        <w:div w:id="876115487">
          <w:marLeft w:val="0"/>
          <w:marRight w:val="0"/>
          <w:marTop w:val="0"/>
          <w:marBottom w:val="0"/>
          <w:divBdr>
            <w:top w:val="none" w:sz="0" w:space="0" w:color="auto"/>
            <w:left w:val="none" w:sz="0" w:space="0" w:color="auto"/>
            <w:bottom w:val="none" w:sz="0" w:space="0" w:color="auto"/>
            <w:right w:val="none" w:sz="0" w:space="0" w:color="auto"/>
          </w:divBdr>
        </w:div>
        <w:div w:id="554588698">
          <w:marLeft w:val="0"/>
          <w:marRight w:val="0"/>
          <w:marTop w:val="0"/>
          <w:marBottom w:val="0"/>
          <w:divBdr>
            <w:top w:val="none" w:sz="0" w:space="0" w:color="auto"/>
            <w:left w:val="none" w:sz="0" w:space="0" w:color="auto"/>
            <w:bottom w:val="none" w:sz="0" w:space="0" w:color="auto"/>
            <w:right w:val="none" w:sz="0" w:space="0" w:color="auto"/>
          </w:divBdr>
        </w:div>
        <w:div w:id="684137761">
          <w:marLeft w:val="0"/>
          <w:marRight w:val="0"/>
          <w:marTop w:val="0"/>
          <w:marBottom w:val="0"/>
          <w:divBdr>
            <w:top w:val="none" w:sz="0" w:space="0" w:color="auto"/>
            <w:left w:val="none" w:sz="0" w:space="0" w:color="auto"/>
            <w:bottom w:val="none" w:sz="0" w:space="0" w:color="auto"/>
            <w:right w:val="none" w:sz="0" w:space="0" w:color="auto"/>
          </w:divBdr>
        </w:div>
        <w:div w:id="514006227">
          <w:marLeft w:val="0"/>
          <w:marRight w:val="0"/>
          <w:marTop w:val="0"/>
          <w:marBottom w:val="0"/>
          <w:divBdr>
            <w:top w:val="none" w:sz="0" w:space="0" w:color="auto"/>
            <w:left w:val="none" w:sz="0" w:space="0" w:color="auto"/>
            <w:bottom w:val="none" w:sz="0" w:space="0" w:color="auto"/>
            <w:right w:val="none" w:sz="0" w:space="0" w:color="auto"/>
          </w:divBdr>
        </w:div>
        <w:div w:id="1369991650">
          <w:marLeft w:val="0"/>
          <w:marRight w:val="0"/>
          <w:marTop w:val="0"/>
          <w:marBottom w:val="0"/>
          <w:divBdr>
            <w:top w:val="none" w:sz="0" w:space="0" w:color="auto"/>
            <w:left w:val="none" w:sz="0" w:space="0" w:color="auto"/>
            <w:bottom w:val="none" w:sz="0" w:space="0" w:color="auto"/>
            <w:right w:val="none" w:sz="0" w:space="0" w:color="auto"/>
          </w:divBdr>
        </w:div>
        <w:div w:id="937177486">
          <w:marLeft w:val="0"/>
          <w:marRight w:val="0"/>
          <w:marTop w:val="0"/>
          <w:marBottom w:val="0"/>
          <w:divBdr>
            <w:top w:val="none" w:sz="0" w:space="0" w:color="auto"/>
            <w:left w:val="none" w:sz="0" w:space="0" w:color="auto"/>
            <w:bottom w:val="none" w:sz="0" w:space="0" w:color="auto"/>
            <w:right w:val="none" w:sz="0" w:space="0" w:color="auto"/>
          </w:divBdr>
        </w:div>
        <w:div w:id="549418230">
          <w:marLeft w:val="0"/>
          <w:marRight w:val="0"/>
          <w:marTop w:val="0"/>
          <w:marBottom w:val="0"/>
          <w:divBdr>
            <w:top w:val="none" w:sz="0" w:space="0" w:color="auto"/>
            <w:left w:val="none" w:sz="0" w:space="0" w:color="auto"/>
            <w:bottom w:val="none" w:sz="0" w:space="0" w:color="auto"/>
            <w:right w:val="none" w:sz="0" w:space="0" w:color="auto"/>
          </w:divBdr>
        </w:div>
        <w:div w:id="501697795">
          <w:marLeft w:val="0"/>
          <w:marRight w:val="0"/>
          <w:marTop w:val="0"/>
          <w:marBottom w:val="0"/>
          <w:divBdr>
            <w:top w:val="none" w:sz="0" w:space="0" w:color="auto"/>
            <w:left w:val="none" w:sz="0" w:space="0" w:color="auto"/>
            <w:bottom w:val="none" w:sz="0" w:space="0" w:color="auto"/>
            <w:right w:val="none" w:sz="0" w:space="0" w:color="auto"/>
          </w:divBdr>
        </w:div>
        <w:div w:id="192353990">
          <w:marLeft w:val="0"/>
          <w:marRight w:val="0"/>
          <w:marTop w:val="0"/>
          <w:marBottom w:val="0"/>
          <w:divBdr>
            <w:top w:val="none" w:sz="0" w:space="0" w:color="auto"/>
            <w:left w:val="none" w:sz="0" w:space="0" w:color="auto"/>
            <w:bottom w:val="none" w:sz="0" w:space="0" w:color="auto"/>
            <w:right w:val="none" w:sz="0" w:space="0" w:color="auto"/>
          </w:divBdr>
        </w:div>
        <w:div w:id="1018430421">
          <w:marLeft w:val="0"/>
          <w:marRight w:val="0"/>
          <w:marTop w:val="0"/>
          <w:marBottom w:val="0"/>
          <w:divBdr>
            <w:top w:val="none" w:sz="0" w:space="0" w:color="auto"/>
            <w:left w:val="none" w:sz="0" w:space="0" w:color="auto"/>
            <w:bottom w:val="none" w:sz="0" w:space="0" w:color="auto"/>
            <w:right w:val="none" w:sz="0" w:space="0" w:color="auto"/>
          </w:divBdr>
        </w:div>
        <w:div w:id="351959883">
          <w:marLeft w:val="0"/>
          <w:marRight w:val="0"/>
          <w:marTop w:val="0"/>
          <w:marBottom w:val="0"/>
          <w:divBdr>
            <w:top w:val="none" w:sz="0" w:space="0" w:color="auto"/>
            <w:left w:val="none" w:sz="0" w:space="0" w:color="auto"/>
            <w:bottom w:val="none" w:sz="0" w:space="0" w:color="auto"/>
            <w:right w:val="none" w:sz="0" w:space="0" w:color="auto"/>
          </w:divBdr>
        </w:div>
        <w:div w:id="191963571">
          <w:marLeft w:val="0"/>
          <w:marRight w:val="0"/>
          <w:marTop w:val="0"/>
          <w:marBottom w:val="0"/>
          <w:divBdr>
            <w:top w:val="none" w:sz="0" w:space="0" w:color="auto"/>
            <w:left w:val="none" w:sz="0" w:space="0" w:color="auto"/>
            <w:bottom w:val="none" w:sz="0" w:space="0" w:color="auto"/>
            <w:right w:val="none" w:sz="0" w:space="0" w:color="auto"/>
          </w:divBdr>
        </w:div>
        <w:div w:id="1860856047">
          <w:marLeft w:val="0"/>
          <w:marRight w:val="0"/>
          <w:marTop w:val="0"/>
          <w:marBottom w:val="0"/>
          <w:divBdr>
            <w:top w:val="none" w:sz="0" w:space="0" w:color="auto"/>
            <w:left w:val="none" w:sz="0" w:space="0" w:color="auto"/>
            <w:bottom w:val="none" w:sz="0" w:space="0" w:color="auto"/>
            <w:right w:val="none" w:sz="0" w:space="0" w:color="auto"/>
          </w:divBdr>
        </w:div>
        <w:div w:id="948658732">
          <w:marLeft w:val="0"/>
          <w:marRight w:val="0"/>
          <w:marTop w:val="0"/>
          <w:marBottom w:val="0"/>
          <w:divBdr>
            <w:top w:val="none" w:sz="0" w:space="0" w:color="auto"/>
            <w:left w:val="none" w:sz="0" w:space="0" w:color="auto"/>
            <w:bottom w:val="none" w:sz="0" w:space="0" w:color="auto"/>
            <w:right w:val="none" w:sz="0" w:space="0" w:color="auto"/>
          </w:divBdr>
        </w:div>
        <w:div w:id="1357150608">
          <w:marLeft w:val="0"/>
          <w:marRight w:val="0"/>
          <w:marTop w:val="0"/>
          <w:marBottom w:val="0"/>
          <w:divBdr>
            <w:top w:val="none" w:sz="0" w:space="0" w:color="auto"/>
            <w:left w:val="none" w:sz="0" w:space="0" w:color="auto"/>
            <w:bottom w:val="none" w:sz="0" w:space="0" w:color="auto"/>
            <w:right w:val="none" w:sz="0" w:space="0" w:color="auto"/>
          </w:divBdr>
        </w:div>
        <w:div w:id="899705120">
          <w:marLeft w:val="0"/>
          <w:marRight w:val="0"/>
          <w:marTop w:val="0"/>
          <w:marBottom w:val="0"/>
          <w:divBdr>
            <w:top w:val="none" w:sz="0" w:space="0" w:color="auto"/>
            <w:left w:val="none" w:sz="0" w:space="0" w:color="auto"/>
            <w:bottom w:val="none" w:sz="0" w:space="0" w:color="auto"/>
            <w:right w:val="none" w:sz="0" w:space="0" w:color="auto"/>
          </w:divBdr>
        </w:div>
        <w:div w:id="412970087">
          <w:marLeft w:val="0"/>
          <w:marRight w:val="0"/>
          <w:marTop w:val="0"/>
          <w:marBottom w:val="0"/>
          <w:divBdr>
            <w:top w:val="none" w:sz="0" w:space="0" w:color="auto"/>
            <w:left w:val="none" w:sz="0" w:space="0" w:color="auto"/>
            <w:bottom w:val="none" w:sz="0" w:space="0" w:color="auto"/>
            <w:right w:val="none" w:sz="0" w:space="0" w:color="auto"/>
          </w:divBdr>
        </w:div>
        <w:div w:id="128989608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ei.vicosa.mg.gov.br/sei/controlador.php?acao=arvore_visualizar&amp;acao_origem=procedimento_visualizar&amp;id_procedimento=178949&amp;infra_sistema=100000100&amp;infra_unidade_atual=110000994&amp;infra_hash=2bc96529126293ee1fadd473085cdf05db3727125724728fc0ff513653ab3c74"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F0E3D3D-A185-4211-85FD-48B78ED39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7</Pages>
  <Words>1565</Words>
  <Characters>8453</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Usuario</cp:lastModifiedBy>
  <cp:revision>151</cp:revision>
  <cp:lastPrinted>2026-04-16T18:56:00Z</cp:lastPrinted>
  <dcterms:created xsi:type="dcterms:W3CDTF">2021-01-07T12:34:00Z</dcterms:created>
  <dcterms:modified xsi:type="dcterms:W3CDTF">2026-06-11T13:30:00Z</dcterms:modified>
</cp:coreProperties>
</file>